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C9" w:rsidRPr="00175A99" w:rsidRDefault="00E252A2" w:rsidP="008F7FC9">
      <w:pPr>
        <w:pStyle w:val="Heading1"/>
        <w:rPr>
          <w:sz w:val="28"/>
        </w:rPr>
      </w:pPr>
      <w:r>
        <w:t>APPENDIX A</w:t>
      </w:r>
      <w:r w:rsidR="00175A99">
        <w:t xml:space="preserve">:  </w:t>
      </w:r>
      <w:r w:rsidR="00175A99" w:rsidRPr="00175A99">
        <w:rPr>
          <w:sz w:val="28"/>
        </w:rPr>
        <w:t>Proposed Budget Reductions and Changes to Program/Service Delivery</w:t>
      </w:r>
    </w:p>
    <w:p w:rsidR="00E252A2" w:rsidRDefault="00A24CFC" w:rsidP="00A24CFC">
      <w:pPr>
        <w:spacing w:after="0"/>
        <w:rPr>
          <w:color w:val="FF0000"/>
        </w:rPr>
      </w:pPr>
      <w:r w:rsidRPr="00E252A2">
        <w:rPr>
          <w:color w:val="000000" w:themeColor="text1"/>
        </w:rPr>
        <w:t xml:space="preserve">Updated to reflect </w:t>
      </w:r>
      <w:r w:rsidR="00E252A2" w:rsidRPr="00E252A2">
        <w:rPr>
          <w:color w:val="000000" w:themeColor="text1"/>
        </w:rPr>
        <w:t>decisions of the Committee of the Whole meeting held on 11 June 2019</w:t>
      </w:r>
      <w:r w:rsidRPr="00E252A2">
        <w:rPr>
          <w:color w:val="000000" w:themeColor="text1"/>
        </w:rPr>
        <w:t xml:space="preserve">.  </w:t>
      </w:r>
    </w:p>
    <w:p w:rsidR="008F7FC9" w:rsidRPr="00175A99" w:rsidRDefault="008F7FC9" w:rsidP="00A24CFC">
      <w:pPr>
        <w:spacing w:after="0"/>
        <w:rPr>
          <w:rFonts w:cstheme="minorHAnsi"/>
          <w:sz w:val="20"/>
        </w:rPr>
      </w:pPr>
    </w:p>
    <w:tbl>
      <w:tblPr>
        <w:tblStyle w:val="TableGrid"/>
        <w:tblW w:w="13410" w:type="dxa"/>
        <w:tblInd w:w="-72" w:type="dxa"/>
        <w:tblLayout w:type="fixed"/>
        <w:tblLook w:val="04A0" w:firstRow="1" w:lastRow="0" w:firstColumn="1" w:lastColumn="0" w:noHBand="0" w:noVBand="1"/>
        <w:tblDescription w:val="Proposed Budget Reductions and Changes to Program/Service Delivery"/>
      </w:tblPr>
      <w:tblGrid>
        <w:gridCol w:w="2332"/>
        <w:gridCol w:w="5768"/>
        <w:gridCol w:w="1890"/>
        <w:gridCol w:w="1710"/>
        <w:gridCol w:w="1710"/>
      </w:tblGrid>
      <w:tr w:rsidR="00EC375D" w:rsidTr="00CF0412">
        <w:trPr>
          <w:tblHeader/>
        </w:trPr>
        <w:tc>
          <w:tcPr>
            <w:tcW w:w="2332" w:type="dxa"/>
            <w:shd w:val="clear" w:color="auto" w:fill="B6DDE8"/>
          </w:tcPr>
          <w:p w:rsidR="00EC375D" w:rsidRPr="00C6151C" w:rsidRDefault="00EC375D" w:rsidP="00C51B13">
            <w:pPr>
              <w:jc w:val="center"/>
              <w:rPr>
                <w:b/>
                <w:szCs w:val="24"/>
              </w:rPr>
            </w:pPr>
            <w:r w:rsidRPr="00C6151C">
              <w:rPr>
                <w:b/>
                <w:szCs w:val="24"/>
              </w:rPr>
              <w:t>Department/Area</w:t>
            </w:r>
          </w:p>
        </w:tc>
        <w:tc>
          <w:tcPr>
            <w:tcW w:w="5768" w:type="dxa"/>
            <w:shd w:val="clear" w:color="auto" w:fill="B6DDE8"/>
          </w:tcPr>
          <w:p w:rsidR="00EC375D" w:rsidRPr="00C6151C" w:rsidRDefault="00EC375D" w:rsidP="00C51B13">
            <w:pPr>
              <w:jc w:val="center"/>
              <w:rPr>
                <w:b/>
                <w:szCs w:val="24"/>
              </w:rPr>
            </w:pPr>
            <w:r w:rsidRPr="00C6151C">
              <w:rPr>
                <w:b/>
                <w:szCs w:val="24"/>
              </w:rPr>
              <w:t>Description</w:t>
            </w:r>
          </w:p>
        </w:tc>
        <w:tc>
          <w:tcPr>
            <w:tcW w:w="1890" w:type="dxa"/>
            <w:shd w:val="clear" w:color="auto" w:fill="B6DDE8"/>
          </w:tcPr>
          <w:p w:rsidR="00EC375D" w:rsidRPr="00C6151C" w:rsidRDefault="00EC375D" w:rsidP="00C51B13">
            <w:pPr>
              <w:jc w:val="center"/>
              <w:rPr>
                <w:b/>
                <w:szCs w:val="24"/>
              </w:rPr>
            </w:pPr>
            <w:r w:rsidRPr="00C6151C">
              <w:rPr>
                <w:b/>
                <w:szCs w:val="24"/>
              </w:rPr>
              <w:t xml:space="preserve">Connection to Multi-Year </w:t>
            </w:r>
            <w:r w:rsidR="00C51B13">
              <w:rPr>
                <w:b/>
                <w:szCs w:val="24"/>
              </w:rPr>
              <w:t>Strategic Plan and</w:t>
            </w:r>
            <w:r w:rsidRPr="00C6151C">
              <w:rPr>
                <w:b/>
                <w:szCs w:val="24"/>
              </w:rPr>
              <w:t xml:space="preserve"> </w:t>
            </w:r>
            <w:r w:rsidR="00C51B13">
              <w:rPr>
                <w:b/>
                <w:szCs w:val="24"/>
              </w:rPr>
              <w:t>B</w:t>
            </w:r>
            <w:r w:rsidRPr="00C6151C">
              <w:rPr>
                <w:b/>
                <w:szCs w:val="24"/>
              </w:rPr>
              <w:t>udget Drivers</w:t>
            </w:r>
          </w:p>
        </w:tc>
        <w:tc>
          <w:tcPr>
            <w:tcW w:w="1710" w:type="dxa"/>
            <w:shd w:val="clear" w:color="auto" w:fill="B6DDE8"/>
          </w:tcPr>
          <w:p w:rsidR="00EC375D" w:rsidRPr="007028AF" w:rsidRDefault="00EC375D" w:rsidP="00C51B13">
            <w:pPr>
              <w:jc w:val="center"/>
              <w:rPr>
                <w:b/>
                <w:szCs w:val="24"/>
              </w:rPr>
            </w:pPr>
            <w:r w:rsidRPr="007028AF">
              <w:rPr>
                <w:b/>
                <w:szCs w:val="24"/>
              </w:rPr>
              <w:t>Amount</w:t>
            </w:r>
          </w:p>
          <w:p w:rsidR="00EC375D" w:rsidRPr="007028AF" w:rsidRDefault="00C51B13" w:rsidP="00C51B13">
            <w:pPr>
              <w:jc w:val="center"/>
              <w:rPr>
                <w:b/>
                <w:szCs w:val="24"/>
              </w:rPr>
            </w:pPr>
            <w:r>
              <w:rPr>
                <w:b/>
                <w:szCs w:val="24"/>
              </w:rPr>
              <w:t>(Savings or Revenue G</w:t>
            </w:r>
            <w:r w:rsidR="00EC375D" w:rsidRPr="007028AF">
              <w:rPr>
                <w:b/>
                <w:szCs w:val="24"/>
              </w:rPr>
              <w:t>enerated) Year 1</w:t>
            </w:r>
          </w:p>
        </w:tc>
        <w:tc>
          <w:tcPr>
            <w:tcW w:w="1710" w:type="dxa"/>
            <w:shd w:val="clear" w:color="auto" w:fill="B6DDE8"/>
          </w:tcPr>
          <w:p w:rsidR="00EC375D" w:rsidRPr="007028AF" w:rsidRDefault="00EC375D" w:rsidP="00C51B13">
            <w:pPr>
              <w:jc w:val="center"/>
              <w:rPr>
                <w:b/>
                <w:szCs w:val="24"/>
              </w:rPr>
            </w:pPr>
            <w:r w:rsidRPr="007028AF">
              <w:rPr>
                <w:b/>
                <w:szCs w:val="24"/>
              </w:rPr>
              <w:t>Amount</w:t>
            </w:r>
          </w:p>
          <w:p w:rsidR="00EC375D" w:rsidRPr="007028AF" w:rsidRDefault="00C51B13" w:rsidP="00C51B13">
            <w:pPr>
              <w:jc w:val="center"/>
              <w:rPr>
                <w:b/>
                <w:szCs w:val="24"/>
              </w:rPr>
            </w:pPr>
            <w:r>
              <w:rPr>
                <w:b/>
                <w:szCs w:val="24"/>
              </w:rPr>
              <w:t>(Savings or Revenue G</w:t>
            </w:r>
            <w:r w:rsidR="00EC375D" w:rsidRPr="007028AF">
              <w:rPr>
                <w:b/>
                <w:szCs w:val="24"/>
              </w:rPr>
              <w:t>enerated)</w:t>
            </w:r>
            <w:r w:rsidR="00EC375D" w:rsidRPr="007028AF">
              <w:rPr>
                <w:b/>
                <w:szCs w:val="24"/>
              </w:rPr>
              <w:br/>
              <w:t>Year 2</w:t>
            </w:r>
          </w:p>
        </w:tc>
      </w:tr>
      <w:tr w:rsidR="00EC375D" w:rsidTr="00CF0412">
        <w:tc>
          <w:tcPr>
            <w:tcW w:w="2332" w:type="dxa"/>
          </w:tcPr>
          <w:p w:rsidR="00EC375D" w:rsidRPr="00C6151C" w:rsidRDefault="00EC375D" w:rsidP="00E534CB">
            <w:pPr>
              <w:rPr>
                <w:b/>
                <w:szCs w:val="24"/>
              </w:rPr>
            </w:pPr>
            <w:r w:rsidRPr="00C6151C">
              <w:rPr>
                <w:b/>
                <w:szCs w:val="24"/>
              </w:rPr>
              <w:t>Learning Centres</w:t>
            </w:r>
          </w:p>
        </w:tc>
        <w:tc>
          <w:tcPr>
            <w:tcW w:w="5768" w:type="dxa"/>
          </w:tcPr>
          <w:p w:rsidR="00EC375D" w:rsidRPr="00C6151C" w:rsidRDefault="00EC375D" w:rsidP="00EC375D">
            <w:r w:rsidRPr="00C6151C">
              <w:t>Learning Centre staff work closely with Principals and Superintendents to ensure schools are able to deliver on their school improvement goals.  All Learning Centre staff work to ensure that the</w:t>
            </w:r>
            <w:r w:rsidR="00FD13C9">
              <w:t xml:space="preserve">      </w:t>
            </w:r>
            <w:r w:rsidRPr="00C6151C">
              <w:t xml:space="preserve"> commitments of the Multi-Ye</w:t>
            </w:r>
            <w:r w:rsidRPr="00EC375D">
              <w:t>a</w:t>
            </w:r>
            <w:r w:rsidRPr="00C6151C">
              <w:t>r Strategic Plan/Action Plans are integrated seamlessly into what is happening in schools.</w:t>
            </w:r>
          </w:p>
          <w:p w:rsidR="00EC375D" w:rsidRPr="00C6151C" w:rsidRDefault="00EC375D" w:rsidP="00E534CB">
            <w:pPr>
              <w:rPr>
                <w:b/>
                <w:szCs w:val="24"/>
              </w:rPr>
            </w:pPr>
            <w:r w:rsidRPr="00C6151C">
              <w:rPr>
                <w:b/>
                <w:szCs w:val="24"/>
              </w:rPr>
              <w:t xml:space="preserve">Proposed Changes: </w:t>
            </w:r>
          </w:p>
          <w:p w:rsidR="00EC375D" w:rsidRPr="00C6151C" w:rsidRDefault="00EC375D" w:rsidP="00CD7359">
            <w:pPr>
              <w:pStyle w:val="ListParagraph"/>
              <w:numPr>
                <w:ilvl w:val="0"/>
                <w:numId w:val="14"/>
              </w:numPr>
              <w:rPr>
                <w:b/>
              </w:rPr>
            </w:pPr>
            <w:r w:rsidRPr="00C6151C">
              <w:t xml:space="preserve">K to 12 Coaches: 69 reduced to </w:t>
            </w:r>
            <w:r w:rsidR="00283A64">
              <w:t>40</w:t>
            </w:r>
          </w:p>
          <w:p w:rsidR="00EC375D" w:rsidRPr="00C6151C" w:rsidRDefault="00EC375D" w:rsidP="00CD7359">
            <w:pPr>
              <w:pStyle w:val="ListParagraph"/>
              <w:numPr>
                <w:ilvl w:val="0"/>
                <w:numId w:val="14"/>
              </w:numPr>
              <w:rPr>
                <w:b/>
              </w:rPr>
            </w:pPr>
            <w:r w:rsidRPr="00C6151C">
              <w:t>Early Reading Coaches: 28 reduced to 20 (additional early reading intervention teachers and coaches to be added)</w:t>
            </w:r>
          </w:p>
          <w:p w:rsidR="00EC375D" w:rsidRPr="00C6151C" w:rsidRDefault="00EC375D" w:rsidP="00CD7359">
            <w:pPr>
              <w:pStyle w:val="ListParagraph"/>
              <w:numPr>
                <w:ilvl w:val="0"/>
                <w:numId w:val="14"/>
              </w:numPr>
              <w:rPr>
                <w:b/>
              </w:rPr>
            </w:pPr>
            <w:r w:rsidRPr="00C6151C">
              <w:t>Guidance Positions:  84 reduced to 69</w:t>
            </w:r>
          </w:p>
          <w:p w:rsidR="00EC375D" w:rsidRPr="00C6151C" w:rsidRDefault="00EC375D" w:rsidP="00CD7359">
            <w:pPr>
              <w:pStyle w:val="ListParagraph"/>
              <w:numPr>
                <w:ilvl w:val="0"/>
                <w:numId w:val="14"/>
              </w:numPr>
              <w:rPr>
                <w:b/>
              </w:rPr>
            </w:pPr>
            <w:r w:rsidRPr="00C6151C">
              <w:t>Special Education Consultants: 28 (no reduction)</w:t>
            </w:r>
          </w:p>
          <w:p w:rsidR="00EC375D" w:rsidRPr="00C6151C" w:rsidRDefault="00EC375D" w:rsidP="00CD7359">
            <w:pPr>
              <w:pStyle w:val="ListParagraph"/>
              <w:numPr>
                <w:ilvl w:val="0"/>
                <w:numId w:val="14"/>
              </w:numPr>
              <w:rPr>
                <w:b/>
              </w:rPr>
            </w:pPr>
            <w:r w:rsidRPr="00C6151C">
              <w:t>Special Education Coordinators: 16 (no reduction)</w:t>
            </w:r>
          </w:p>
          <w:p w:rsidR="00EC375D" w:rsidRPr="00C6151C" w:rsidRDefault="00EC375D" w:rsidP="00CD7359">
            <w:pPr>
              <w:pStyle w:val="ListParagraph"/>
              <w:numPr>
                <w:ilvl w:val="0"/>
                <w:numId w:val="14"/>
              </w:numPr>
              <w:rPr>
                <w:b/>
              </w:rPr>
            </w:pPr>
            <w:r w:rsidRPr="00C6151C">
              <w:t>Community Support Workers: 24 (no reduction)</w:t>
            </w:r>
          </w:p>
          <w:p w:rsidR="00EC375D" w:rsidRPr="00C6151C" w:rsidRDefault="00EC375D" w:rsidP="00CD7359">
            <w:pPr>
              <w:pStyle w:val="ListParagraph"/>
              <w:numPr>
                <w:ilvl w:val="0"/>
                <w:numId w:val="14"/>
              </w:numPr>
              <w:rPr>
                <w:b/>
              </w:rPr>
            </w:pPr>
            <w:r w:rsidRPr="00C6151C">
              <w:t>Student Equity Program Advisors: 8 (no reduction)</w:t>
            </w:r>
          </w:p>
          <w:p w:rsidR="00EC375D" w:rsidRPr="002E1F55" w:rsidRDefault="00EC375D" w:rsidP="00CD7359">
            <w:pPr>
              <w:pStyle w:val="ListParagraph"/>
              <w:numPr>
                <w:ilvl w:val="0"/>
                <w:numId w:val="14"/>
              </w:numPr>
              <w:rPr>
                <w:b/>
              </w:rPr>
            </w:pPr>
            <w:r w:rsidRPr="00C6151C">
              <w:t>Office Clerical: 3 reduced to 0</w:t>
            </w:r>
          </w:p>
          <w:p w:rsidR="002E1F55" w:rsidRPr="00C6151C" w:rsidRDefault="002E1F55" w:rsidP="00CD7359">
            <w:pPr>
              <w:pStyle w:val="ListParagraph"/>
              <w:numPr>
                <w:ilvl w:val="0"/>
                <w:numId w:val="14"/>
              </w:numPr>
              <w:rPr>
                <w:b/>
              </w:rPr>
            </w:pPr>
            <w:r w:rsidRPr="002E1F55">
              <w:rPr>
                <w:b/>
              </w:rPr>
              <w:t>*</w:t>
            </w:r>
            <w:r>
              <w:t>K to 12 Learning Coaches 12.0 FTE</w:t>
            </w:r>
          </w:p>
          <w:p w:rsidR="00EC375D" w:rsidRDefault="00EC375D" w:rsidP="006B6BBC">
            <w:pPr>
              <w:spacing w:before="240"/>
              <w:rPr>
                <w:szCs w:val="24"/>
              </w:rPr>
            </w:pPr>
            <w:r w:rsidRPr="00C6151C">
              <w:rPr>
                <w:szCs w:val="24"/>
              </w:rPr>
              <w:t>With these reductions, the TDSB remains focussed on key deliverables in the Multi-Year Strategic Plan.  Moving forward, Action Plan commitments will be re-examined</w:t>
            </w:r>
            <w:r w:rsidR="00FD13C9">
              <w:rPr>
                <w:szCs w:val="24"/>
              </w:rPr>
              <w:t>.</w:t>
            </w:r>
          </w:p>
          <w:p w:rsidR="002E1F55" w:rsidRPr="00C6151C" w:rsidRDefault="007B0F85" w:rsidP="002D27B1">
            <w:pPr>
              <w:rPr>
                <w:szCs w:val="24"/>
              </w:rPr>
            </w:pPr>
            <w:r w:rsidRPr="00B8779C">
              <w:rPr>
                <w:sz w:val="22"/>
                <w:szCs w:val="24"/>
              </w:rPr>
              <w:t>*This reduction was proposed to assist with balancing the 2019-20 budget.  However, this reduction is not sustainable in the long-term and equivalent resources will be reinstated in 2020-21.</w:t>
            </w:r>
          </w:p>
        </w:tc>
        <w:tc>
          <w:tcPr>
            <w:tcW w:w="1890" w:type="dxa"/>
          </w:tcPr>
          <w:p w:rsidR="00EC375D" w:rsidRPr="00C6151C" w:rsidRDefault="00EC375D" w:rsidP="00E534CB">
            <w:pPr>
              <w:rPr>
                <w:szCs w:val="24"/>
              </w:rPr>
            </w:pPr>
            <w:r w:rsidRPr="00C6151C">
              <w:rPr>
                <w:szCs w:val="24"/>
              </w:rPr>
              <w:t>Differentiated Approaches to Serve Our Students</w:t>
            </w:r>
          </w:p>
          <w:p w:rsidR="00EC375D" w:rsidRPr="00C6151C" w:rsidRDefault="00EC375D" w:rsidP="00E534CB">
            <w:pPr>
              <w:rPr>
                <w:szCs w:val="24"/>
              </w:rPr>
            </w:pPr>
            <w:r w:rsidRPr="00C6151C">
              <w:rPr>
                <w:szCs w:val="24"/>
              </w:rPr>
              <w:t>Professional Development</w:t>
            </w:r>
          </w:p>
          <w:p w:rsidR="00EC375D" w:rsidRPr="00C6151C" w:rsidRDefault="00EC375D" w:rsidP="00E534CB">
            <w:pPr>
              <w:rPr>
                <w:szCs w:val="24"/>
              </w:rPr>
            </w:pPr>
            <w:r w:rsidRPr="00C6151C">
              <w:rPr>
                <w:szCs w:val="24"/>
              </w:rPr>
              <w:t>Early Years</w:t>
            </w:r>
          </w:p>
          <w:p w:rsidR="00EC375D" w:rsidRPr="00C6151C" w:rsidRDefault="00FD13C9" w:rsidP="00E534CB">
            <w:pPr>
              <w:rPr>
                <w:szCs w:val="24"/>
              </w:rPr>
            </w:pPr>
            <w:r>
              <w:rPr>
                <w:szCs w:val="24"/>
              </w:rPr>
              <w:t xml:space="preserve">Parent </w:t>
            </w:r>
            <w:r w:rsidR="00EC375D" w:rsidRPr="00C6151C">
              <w:rPr>
                <w:szCs w:val="24"/>
              </w:rPr>
              <w:t>Engagement and Student Voice</w:t>
            </w:r>
          </w:p>
        </w:tc>
        <w:tc>
          <w:tcPr>
            <w:tcW w:w="1710" w:type="dxa"/>
          </w:tcPr>
          <w:p w:rsidR="00EC375D" w:rsidRPr="007028AF" w:rsidRDefault="00EC375D" w:rsidP="00897459">
            <w:pPr>
              <w:rPr>
                <w:b/>
                <w:szCs w:val="24"/>
              </w:rPr>
            </w:pPr>
            <w:r w:rsidRPr="007028AF">
              <w:rPr>
                <w:b/>
                <w:szCs w:val="24"/>
              </w:rPr>
              <w:t>$</w:t>
            </w:r>
            <w:r w:rsidR="00897459">
              <w:rPr>
                <w:b/>
                <w:szCs w:val="24"/>
              </w:rPr>
              <w:t>7.22</w:t>
            </w:r>
            <w:r w:rsidRPr="007028AF">
              <w:rPr>
                <w:b/>
                <w:szCs w:val="24"/>
              </w:rPr>
              <w:t xml:space="preserve"> million</w:t>
            </w:r>
          </w:p>
        </w:tc>
        <w:tc>
          <w:tcPr>
            <w:tcW w:w="1710" w:type="dxa"/>
          </w:tcPr>
          <w:p w:rsidR="00EC375D" w:rsidRPr="007028AF" w:rsidRDefault="00B07C99" w:rsidP="00E534CB">
            <w:pPr>
              <w:rPr>
                <w:b/>
                <w:szCs w:val="24"/>
              </w:rPr>
            </w:pPr>
            <w:r>
              <w:rPr>
                <w:b/>
                <w:szCs w:val="24"/>
              </w:rPr>
              <w:t>($1.4) million</w:t>
            </w:r>
          </w:p>
        </w:tc>
      </w:tr>
      <w:tr w:rsidR="00EC375D" w:rsidTr="00CF0412">
        <w:trPr>
          <w:trHeight w:val="2555"/>
        </w:trPr>
        <w:tc>
          <w:tcPr>
            <w:tcW w:w="2332" w:type="dxa"/>
            <w:shd w:val="clear" w:color="auto" w:fill="F2F2F2" w:themeFill="background1" w:themeFillShade="F2"/>
          </w:tcPr>
          <w:p w:rsidR="00EC375D" w:rsidRPr="00C6151C" w:rsidRDefault="00EC375D" w:rsidP="00E534CB">
            <w:pPr>
              <w:rPr>
                <w:b/>
                <w:szCs w:val="24"/>
              </w:rPr>
            </w:pPr>
            <w:r w:rsidRPr="00C6151C">
              <w:rPr>
                <w:b/>
                <w:szCs w:val="24"/>
              </w:rPr>
              <w:t>Senior Team</w:t>
            </w:r>
          </w:p>
        </w:tc>
        <w:tc>
          <w:tcPr>
            <w:tcW w:w="5768" w:type="dxa"/>
            <w:shd w:val="clear" w:color="auto" w:fill="F2F2F2" w:themeFill="background1" w:themeFillShade="F2"/>
          </w:tcPr>
          <w:p w:rsidR="00EC375D" w:rsidRPr="00C6151C" w:rsidRDefault="00EC375D" w:rsidP="00E534CB">
            <w:pPr>
              <w:rPr>
                <w:b/>
                <w:szCs w:val="24"/>
              </w:rPr>
            </w:pPr>
            <w:r w:rsidRPr="00C6151C">
              <w:rPr>
                <w:b/>
                <w:szCs w:val="24"/>
              </w:rPr>
              <w:t>Proposed Change:</w:t>
            </w:r>
          </w:p>
          <w:p w:rsidR="00EC375D" w:rsidRPr="00C6151C" w:rsidRDefault="00EC375D" w:rsidP="00E534CB">
            <w:pPr>
              <w:rPr>
                <w:szCs w:val="24"/>
              </w:rPr>
            </w:pPr>
            <w:r w:rsidRPr="00C6151C">
              <w:rPr>
                <w:szCs w:val="24"/>
              </w:rPr>
              <w:t xml:space="preserve">Senior Team will be reduced by </w:t>
            </w:r>
            <w:r w:rsidR="00E252A2">
              <w:rPr>
                <w:szCs w:val="24"/>
              </w:rPr>
              <w:t>7</w:t>
            </w:r>
            <w:r w:rsidRPr="00C6151C">
              <w:rPr>
                <w:szCs w:val="24"/>
              </w:rPr>
              <w:t xml:space="preserve"> (in addition to administrative support) </w:t>
            </w:r>
            <w:r w:rsidR="00E252A2">
              <w:rPr>
                <w:szCs w:val="24"/>
              </w:rPr>
              <w:t xml:space="preserve">in </w:t>
            </w:r>
            <w:r w:rsidR="00DD703D">
              <w:rPr>
                <w:szCs w:val="24"/>
              </w:rPr>
              <w:t>Y</w:t>
            </w:r>
            <w:r w:rsidR="00E252A2">
              <w:rPr>
                <w:szCs w:val="24"/>
              </w:rPr>
              <w:t xml:space="preserve">ear </w:t>
            </w:r>
            <w:r w:rsidR="00B37418">
              <w:rPr>
                <w:szCs w:val="24"/>
              </w:rPr>
              <w:t>1</w:t>
            </w:r>
            <w:r w:rsidRPr="00C6151C">
              <w:rPr>
                <w:szCs w:val="24"/>
              </w:rPr>
              <w:t>.</w:t>
            </w:r>
          </w:p>
          <w:p w:rsidR="00EC375D" w:rsidRPr="00C6151C" w:rsidRDefault="00EC375D" w:rsidP="00E534CB">
            <w:pPr>
              <w:rPr>
                <w:szCs w:val="24"/>
              </w:rPr>
            </w:pPr>
            <w:r w:rsidRPr="00C6151C">
              <w:rPr>
                <w:szCs w:val="24"/>
              </w:rPr>
              <w:t>This is part of a larger re-alignment of senior team to better support and align with the TDSB’s Multi-Year Strategic Plan.</w:t>
            </w:r>
          </w:p>
        </w:tc>
        <w:tc>
          <w:tcPr>
            <w:tcW w:w="1890" w:type="dxa"/>
            <w:shd w:val="clear" w:color="auto" w:fill="F2F2F2" w:themeFill="background1" w:themeFillShade="F2"/>
          </w:tcPr>
          <w:p w:rsidR="00EC375D" w:rsidRPr="00C6151C" w:rsidRDefault="00EC375D" w:rsidP="00E534CB">
            <w:pPr>
              <w:rPr>
                <w:rFonts w:cstheme="minorHAnsi"/>
                <w:szCs w:val="24"/>
              </w:rPr>
            </w:pPr>
            <w:r w:rsidRPr="00C6151C">
              <w:rPr>
                <w:rFonts w:cstheme="minorHAnsi"/>
                <w:szCs w:val="24"/>
              </w:rPr>
              <w:t>Differentiated Approaches to Serve Our Students</w:t>
            </w:r>
          </w:p>
          <w:p w:rsidR="00EC375D" w:rsidRPr="00C6151C" w:rsidRDefault="00EC375D" w:rsidP="00E534CB">
            <w:pPr>
              <w:rPr>
                <w:szCs w:val="24"/>
              </w:rPr>
            </w:pPr>
            <w:r w:rsidRPr="00C6151C">
              <w:rPr>
                <w:szCs w:val="24"/>
              </w:rPr>
              <w:t>Professional Development</w:t>
            </w:r>
          </w:p>
        </w:tc>
        <w:tc>
          <w:tcPr>
            <w:tcW w:w="1710" w:type="dxa"/>
            <w:shd w:val="clear" w:color="auto" w:fill="F2F2F2" w:themeFill="background1" w:themeFillShade="F2"/>
          </w:tcPr>
          <w:p w:rsidR="00EC375D" w:rsidRPr="007028AF" w:rsidRDefault="00EC375D" w:rsidP="00E252A2">
            <w:pPr>
              <w:rPr>
                <w:b/>
                <w:szCs w:val="24"/>
              </w:rPr>
            </w:pPr>
            <w:r w:rsidRPr="007028AF">
              <w:rPr>
                <w:b/>
                <w:szCs w:val="24"/>
              </w:rPr>
              <w:t>$</w:t>
            </w:r>
            <w:r w:rsidR="00E252A2">
              <w:rPr>
                <w:b/>
                <w:szCs w:val="24"/>
              </w:rPr>
              <w:t>2.34</w:t>
            </w:r>
            <w:r w:rsidRPr="007028AF">
              <w:rPr>
                <w:b/>
                <w:szCs w:val="24"/>
              </w:rPr>
              <w:t xml:space="preserve"> million</w:t>
            </w:r>
          </w:p>
        </w:tc>
        <w:tc>
          <w:tcPr>
            <w:tcW w:w="1710" w:type="dxa"/>
            <w:shd w:val="clear" w:color="auto" w:fill="F2F2F2" w:themeFill="background1" w:themeFillShade="F2"/>
          </w:tcPr>
          <w:p w:rsidR="00EC375D" w:rsidRPr="007028AF" w:rsidRDefault="00EC375D" w:rsidP="00E252A2">
            <w:pPr>
              <w:rPr>
                <w:b/>
                <w:szCs w:val="24"/>
              </w:rPr>
            </w:pPr>
          </w:p>
        </w:tc>
      </w:tr>
      <w:tr w:rsidR="00EC375D" w:rsidTr="007B0F85">
        <w:trPr>
          <w:trHeight w:val="3941"/>
        </w:trPr>
        <w:tc>
          <w:tcPr>
            <w:tcW w:w="2332" w:type="dxa"/>
          </w:tcPr>
          <w:p w:rsidR="00EC375D" w:rsidRPr="00C6151C" w:rsidRDefault="00EC375D" w:rsidP="00E534CB">
            <w:pPr>
              <w:rPr>
                <w:b/>
                <w:szCs w:val="24"/>
              </w:rPr>
            </w:pPr>
            <w:r w:rsidRPr="00C6151C">
              <w:rPr>
                <w:b/>
                <w:szCs w:val="24"/>
              </w:rPr>
              <w:t>Centrally Assigned Principals</w:t>
            </w:r>
          </w:p>
        </w:tc>
        <w:tc>
          <w:tcPr>
            <w:tcW w:w="5768" w:type="dxa"/>
          </w:tcPr>
          <w:p w:rsidR="00EC375D" w:rsidRPr="00C6151C" w:rsidRDefault="00EC375D" w:rsidP="00E534CB">
            <w:pPr>
              <w:rPr>
                <w:szCs w:val="24"/>
              </w:rPr>
            </w:pPr>
            <w:r w:rsidRPr="00C6151C">
              <w:rPr>
                <w:szCs w:val="24"/>
              </w:rPr>
              <w:t>Centrally Assigned Principals provide leadership to the system in many different areas, such as Alternative Schools, Caring and Safe Schools, Continuing Education, Early Years, Employee Services, Equity, Anti-Racism &amp; Anti-Oppression, International Education, Leadership and Learning, Learning Centres, Outdoor Education, Section 23, Special Education, and Urban &amp; Indigenous Education Centre.</w:t>
            </w:r>
          </w:p>
          <w:p w:rsidR="00EC375D" w:rsidRPr="007874E1" w:rsidRDefault="00EC375D" w:rsidP="006B6BBC">
            <w:pPr>
              <w:spacing w:after="120"/>
              <w:rPr>
                <w:b/>
                <w:szCs w:val="24"/>
              </w:rPr>
            </w:pPr>
            <w:r w:rsidRPr="007874E1">
              <w:rPr>
                <w:b/>
                <w:szCs w:val="24"/>
              </w:rPr>
              <w:t>Proposed Change:</w:t>
            </w:r>
          </w:p>
          <w:p w:rsidR="001B3CCA" w:rsidRDefault="00FD13C9" w:rsidP="00CD7359">
            <w:pPr>
              <w:pStyle w:val="ListParagraph"/>
            </w:pPr>
            <w:r>
              <w:t xml:space="preserve">Centrally Assigned Principals: </w:t>
            </w:r>
            <w:r w:rsidR="00EC375D" w:rsidRPr="00FD13C9">
              <w:t>55 Reduced to 42</w:t>
            </w:r>
          </w:p>
          <w:p w:rsidR="00B94B34" w:rsidRPr="00B94B34" w:rsidRDefault="00B94B34" w:rsidP="00B94B34">
            <w:pPr>
              <w:ind w:left="360"/>
            </w:pPr>
          </w:p>
        </w:tc>
        <w:tc>
          <w:tcPr>
            <w:tcW w:w="1890" w:type="dxa"/>
          </w:tcPr>
          <w:p w:rsidR="00EC375D" w:rsidRPr="00C6151C" w:rsidRDefault="00EC375D" w:rsidP="00E534CB">
            <w:pPr>
              <w:rPr>
                <w:rFonts w:cstheme="minorHAnsi"/>
                <w:szCs w:val="24"/>
              </w:rPr>
            </w:pPr>
            <w:r w:rsidRPr="00C6151C">
              <w:rPr>
                <w:rFonts w:cstheme="minorHAnsi"/>
                <w:szCs w:val="24"/>
              </w:rPr>
              <w:t>Differentiated Approaches to Serve Our Students</w:t>
            </w:r>
          </w:p>
          <w:p w:rsidR="00EC375D" w:rsidRPr="00C6151C" w:rsidRDefault="00EC375D" w:rsidP="00E534CB">
            <w:pPr>
              <w:rPr>
                <w:szCs w:val="24"/>
              </w:rPr>
            </w:pPr>
            <w:r w:rsidRPr="00C6151C">
              <w:rPr>
                <w:szCs w:val="24"/>
              </w:rPr>
              <w:t>Professional Development</w:t>
            </w:r>
          </w:p>
        </w:tc>
        <w:tc>
          <w:tcPr>
            <w:tcW w:w="1710" w:type="dxa"/>
          </w:tcPr>
          <w:p w:rsidR="00EC375D" w:rsidRPr="007028AF" w:rsidRDefault="00EC375D" w:rsidP="00E534CB">
            <w:pPr>
              <w:rPr>
                <w:b/>
                <w:szCs w:val="24"/>
              </w:rPr>
            </w:pPr>
            <w:r w:rsidRPr="007028AF">
              <w:rPr>
                <w:b/>
                <w:szCs w:val="24"/>
              </w:rPr>
              <w:t>$2.13 million</w:t>
            </w:r>
          </w:p>
        </w:tc>
        <w:tc>
          <w:tcPr>
            <w:tcW w:w="1710" w:type="dxa"/>
          </w:tcPr>
          <w:p w:rsidR="00EC375D" w:rsidRPr="007028AF" w:rsidRDefault="00EC375D" w:rsidP="00E534CB">
            <w:pPr>
              <w:rPr>
                <w:b/>
                <w:szCs w:val="24"/>
              </w:rPr>
            </w:pPr>
          </w:p>
        </w:tc>
      </w:tr>
      <w:tr w:rsidR="00EC375D" w:rsidTr="00CF0412">
        <w:tc>
          <w:tcPr>
            <w:tcW w:w="2332" w:type="dxa"/>
            <w:shd w:val="clear" w:color="auto" w:fill="F2F2F2" w:themeFill="background1" w:themeFillShade="F2"/>
          </w:tcPr>
          <w:p w:rsidR="00EC375D" w:rsidRPr="00C6151C" w:rsidRDefault="00EC375D" w:rsidP="00E534CB">
            <w:pPr>
              <w:rPr>
                <w:b/>
                <w:szCs w:val="24"/>
              </w:rPr>
            </w:pPr>
            <w:r w:rsidRPr="00C6151C">
              <w:rPr>
                <w:b/>
                <w:szCs w:val="24"/>
              </w:rPr>
              <w:t>Central Administration</w:t>
            </w:r>
          </w:p>
        </w:tc>
        <w:tc>
          <w:tcPr>
            <w:tcW w:w="5768" w:type="dxa"/>
            <w:shd w:val="clear" w:color="auto" w:fill="F2F2F2" w:themeFill="background1" w:themeFillShade="F2"/>
          </w:tcPr>
          <w:p w:rsidR="00EC375D" w:rsidRPr="00C6151C" w:rsidRDefault="00EC375D" w:rsidP="00E534CB">
            <w:pPr>
              <w:rPr>
                <w:b/>
                <w:szCs w:val="24"/>
              </w:rPr>
            </w:pPr>
            <w:r w:rsidRPr="00C6151C">
              <w:rPr>
                <w:b/>
                <w:szCs w:val="24"/>
              </w:rPr>
              <w:t>Proposed Change:</w:t>
            </w:r>
          </w:p>
          <w:p w:rsidR="00EC375D" w:rsidRPr="00C6151C" w:rsidRDefault="00EC375D" w:rsidP="00E534CB">
            <w:pPr>
              <w:rPr>
                <w:szCs w:val="24"/>
              </w:rPr>
            </w:pPr>
            <w:r w:rsidRPr="00C6151C">
              <w:rPr>
                <w:szCs w:val="24"/>
              </w:rPr>
              <w:t>The reorganization of central administration departments, such as Business Services, Caring &amp; Safe Schools, Communications and Employee Services, will result in the savings. In addition, savings will also be realized through a review of vendor contracts and service levels in these departments.</w:t>
            </w:r>
          </w:p>
          <w:p w:rsidR="00EC375D" w:rsidRPr="00175A99" w:rsidRDefault="00EC375D" w:rsidP="00E534CB">
            <w:pPr>
              <w:rPr>
                <w:szCs w:val="24"/>
              </w:rPr>
            </w:pPr>
            <w:r w:rsidRPr="00175A99">
              <w:rPr>
                <w:szCs w:val="24"/>
              </w:rPr>
              <w:t>The transition of Parenting and Family Literacy Centres to Ontario Early Year’s Child and Family Programs (called EarlyON) has resulted in a budget shortfall. Strategies will be utilized to address the deficit over time and will likely result in program closures unless the funding from the Ministry of Education and/or Toronto Children’s Services increases.</w:t>
            </w:r>
          </w:p>
        </w:tc>
        <w:tc>
          <w:tcPr>
            <w:tcW w:w="1890" w:type="dxa"/>
            <w:shd w:val="clear" w:color="auto" w:fill="F2F2F2" w:themeFill="background1" w:themeFillShade="F2"/>
          </w:tcPr>
          <w:p w:rsidR="00EC375D" w:rsidRPr="00C6151C" w:rsidRDefault="00EC375D" w:rsidP="00E534CB">
            <w:pPr>
              <w:rPr>
                <w:szCs w:val="24"/>
              </w:rPr>
            </w:pPr>
            <w:r w:rsidRPr="00C6151C">
              <w:rPr>
                <w:szCs w:val="24"/>
              </w:rPr>
              <w:t>Allocate Human and Financial Resources Strategically to Support Student Needs</w:t>
            </w:r>
          </w:p>
        </w:tc>
        <w:tc>
          <w:tcPr>
            <w:tcW w:w="1710" w:type="dxa"/>
            <w:shd w:val="clear" w:color="auto" w:fill="F2F2F2" w:themeFill="background1" w:themeFillShade="F2"/>
          </w:tcPr>
          <w:p w:rsidR="00EC375D" w:rsidRPr="007028AF" w:rsidRDefault="00EC375D" w:rsidP="00E534CB">
            <w:pPr>
              <w:rPr>
                <w:b/>
                <w:szCs w:val="24"/>
              </w:rPr>
            </w:pPr>
            <w:r w:rsidRPr="007028AF">
              <w:rPr>
                <w:b/>
                <w:szCs w:val="24"/>
              </w:rPr>
              <w:t>$5.38 million</w:t>
            </w:r>
          </w:p>
        </w:tc>
        <w:tc>
          <w:tcPr>
            <w:tcW w:w="1710" w:type="dxa"/>
            <w:shd w:val="clear" w:color="auto" w:fill="F2F2F2" w:themeFill="background1" w:themeFillShade="F2"/>
          </w:tcPr>
          <w:p w:rsidR="00EC375D" w:rsidRPr="007028AF" w:rsidRDefault="00EC375D" w:rsidP="00E534CB">
            <w:pPr>
              <w:rPr>
                <w:b/>
                <w:szCs w:val="24"/>
              </w:rPr>
            </w:pPr>
          </w:p>
        </w:tc>
      </w:tr>
      <w:tr w:rsidR="00EC375D" w:rsidTr="00CF0412">
        <w:tc>
          <w:tcPr>
            <w:tcW w:w="2332" w:type="dxa"/>
            <w:tcBorders>
              <w:bottom w:val="nil"/>
            </w:tcBorders>
          </w:tcPr>
          <w:p w:rsidR="00EC375D" w:rsidRPr="00C6151C" w:rsidRDefault="00EC375D" w:rsidP="00E534CB">
            <w:pPr>
              <w:rPr>
                <w:b/>
                <w:szCs w:val="24"/>
              </w:rPr>
            </w:pPr>
            <w:r w:rsidRPr="00C6151C">
              <w:rPr>
                <w:b/>
                <w:szCs w:val="24"/>
              </w:rPr>
              <w:t>Outdoor Education</w:t>
            </w:r>
          </w:p>
        </w:tc>
        <w:tc>
          <w:tcPr>
            <w:tcW w:w="5768" w:type="dxa"/>
            <w:tcBorders>
              <w:bottom w:val="nil"/>
            </w:tcBorders>
          </w:tcPr>
          <w:p w:rsidR="008F71A5" w:rsidRPr="008F71A5" w:rsidRDefault="008F71A5" w:rsidP="00CD7359">
            <w:pPr>
              <w:pStyle w:val="ListParagraph"/>
            </w:pPr>
            <w:r w:rsidRPr="008F71A5">
              <w:t>In Year 1 - Close Etobicoke Field Studies Centre</w:t>
            </w:r>
            <w:r w:rsidR="00FD13C9">
              <w:t>.</w:t>
            </w:r>
            <w:r w:rsidRPr="008F71A5">
              <w:t xml:space="preserve"> </w:t>
            </w:r>
          </w:p>
          <w:p w:rsidR="008F71A5" w:rsidRPr="008F71A5" w:rsidRDefault="008F71A5" w:rsidP="00CD7359">
            <w:pPr>
              <w:pStyle w:val="ListParagraph"/>
            </w:pPr>
            <w:r w:rsidRPr="008F71A5">
              <w:t>Reduce staffing across all outdoor education sites</w:t>
            </w:r>
            <w:r w:rsidR="00FD13C9">
              <w:t>.</w:t>
            </w:r>
          </w:p>
          <w:p w:rsidR="008F71A5" w:rsidRDefault="008F71A5" w:rsidP="00CD7359">
            <w:pPr>
              <w:pStyle w:val="ListParagraph"/>
            </w:pPr>
            <w:r w:rsidRPr="008F71A5">
              <w:t>Increase fees to a per class fee of $</w:t>
            </w:r>
            <w:r w:rsidR="00175A99">
              <w:t>300 for day centres</w:t>
            </w:r>
            <w:r w:rsidR="00FD13C9">
              <w:t xml:space="preserve">.  </w:t>
            </w:r>
            <w:r w:rsidR="00175A99">
              <w:t xml:space="preserve">Overnight </w:t>
            </w:r>
            <w:r w:rsidRPr="008F71A5">
              <w:t>Centres will remain on a per student cost on a sliding scale based on LOI for a 3 day trip. </w:t>
            </w:r>
            <w:r w:rsidR="00FD13C9">
              <w:t xml:space="preserve"> Prices would be prorated for 2,4</w:t>
            </w:r>
            <w:r w:rsidRPr="008F71A5">
              <w:t xml:space="preserve"> or 5 day trips</w:t>
            </w:r>
            <w:r w:rsidR="00FD13C9">
              <w:t>,</w:t>
            </w:r>
            <w:r w:rsidRPr="008F71A5">
              <w:t xml:space="preserve"> if possible/available.</w:t>
            </w:r>
          </w:p>
          <w:p w:rsidR="008F71A5" w:rsidRDefault="008F71A5" w:rsidP="00B94B34">
            <w:pPr>
              <w:pStyle w:val="ListParagraph"/>
              <w:ind w:left="1340"/>
            </w:pPr>
            <w:r>
              <w:t>1-150                    $50.00</w:t>
            </w:r>
          </w:p>
          <w:p w:rsidR="008F71A5" w:rsidRDefault="008F71A5" w:rsidP="00B94B34">
            <w:pPr>
              <w:pStyle w:val="ListParagraph"/>
              <w:ind w:left="1340"/>
            </w:pPr>
            <w:r>
              <w:t>151-250               $100.00</w:t>
            </w:r>
          </w:p>
          <w:p w:rsidR="00175A99" w:rsidRPr="00175A99" w:rsidRDefault="008F71A5" w:rsidP="00B94B34">
            <w:pPr>
              <w:pStyle w:val="ListParagraph"/>
              <w:ind w:left="1340"/>
            </w:pPr>
            <w:r>
              <w:t>251+                     $150.00</w:t>
            </w:r>
          </w:p>
          <w:p w:rsidR="008F71A5" w:rsidRPr="00553919" w:rsidRDefault="008F71A5" w:rsidP="00CD7359">
            <w:pPr>
              <w:pStyle w:val="ListParagraph"/>
            </w:pPr>
            <w:r w:rsidRPr="00553919">
              <w:t>In Year 2 – Close Etobicoke Outdoor Education Centre</w:t>
            </w:r>
            <w:r w:rsidR="00FD13C9">
              <w:t>.</w:t>
            </w:r>
          </w:p>
          <w:p w:rsidR="00EC375D" w:rsidRPr="008921DB" w:rsidRDefault="008F71A5" w:rsidP="00CD7359">
            <w:pPr>
              <w:pStyle w:val="ListParagraph"/>
            </w:pPr>
            <w:r w:rsidRPr="008F71A5">
              <w:t>Transfer cost of transportation to school budgets ($700,000)</w:t>
            </w:r>
            <w:r w:rsidR="008921DB">
              <w:t xml:space="preserve">.  </w:t>
            </w:r>
            <w:r w:rsidR="008921DB" w:rsidRPr="00C6151C">
              <w:t>This is the current practice for most Ontario Boards with Outdoor Education sites.</w:t>
            </w:r>
          </w:p>
        </w:tc>
        <w:tc>
          <w:tcPr>
            <w:tcW w:w="1890" w:type="dxa"/>
            <w:tcBorders>
              <w:bottom w:val="nil"/>
            </w:tcBorders>
          </w:tcPr>
          <w:p w:rsidR="00EC375D" w:rsidRPr="00C6151C" w:rsidRDefault="00EC375D" w:rsidP="00E534CB">
            <w:pPr>
              <w:rPr>
                <w:rFonts w:cstheme="minorHAnsi"/>
                <w:szCs w:val="24"/>
              </w:rPr>
            </w:pPr>
            <w:r w:rsidRPr="00C6151C">
              <w:rPr>
                <w:rFonts w:cstheme="minorHAnsi"/>
                <w:szCs w:val="24"/>
              </w:rPr>
              <w:t>Student Success</w:t>
            </w:r>
          </w:p>
          <w:p w:rsidR="00EC375D" w:rsidRPr="00C6151C" w:rsidRDefault="00EC375D" w:rsidP="00E534CB">
            <w:pPr>
              <w:rPr>
                <w:szCs w:val="24"/>
              </w:rPr>
            </w:pPr>
            <w:r w:rsidRPr="00C6151C">
              <w:rPr>
                <w:rFonts w:cstheme="minorHAnsi"/>
                <w:szCs w:val="24"/>
              </w:rPr>
              <w:t>Differentiated Approaches to Serve Our Students</w:t>
            </w:r>
          </w:p>
        </w:tc>
        <w:tc>
          <w:tcPr>
            <w:tcW w:w="1710" w:type="dxa"/>
            <w:tcBorders>
              <w:bottom w:val="nil"/>
            </w:tcBorders>
          </w:tcPr>
          <w:p w:rsidR="00EC375D" w:rsidRPr="007028AF" w:rsidRDefault="00EC375D" w:rsidP="00E534CB">
            <w:pPr>
              <w:rPr>
                <w:b/>
                <w:szCs w:val="24"/>
              </w:rPr>
            </w:pPr>
            <w:r w:rsidRPr="007028AF">
              <w:rPr>
                <w:b/>
                <w:szCs w:val="24"/>
              </w:rPr>
              <w:t>$2.</w:t>
            </w:r>
            <w:r w:rsidR="00E252A2">
              <w:rPr>
                <w:b/>
                <w:szCs w:val="24"/>
              </w:rPr>
              <w:t>90</w:t>
            </w:r>
            <w:r w:rsidRPr="007028AF">
              <w:rPr>
                <w:b/>
                <w:szCs w:val="24"/>
              </w:rPr>
              <w:t xml:space="preserve"> million</w:t>
            </w:r>
          </w:p>
          <w:p w:rsidR="00EC375D" w:rsidRPr="007028AF" w:rsidRDefault="00EC375D" w:rsidP="00E534CB">
            <w:pPr>
              <w:rPr>
                <w:b/>
                <w:szCs w:val="24"/>
              </w:rPr>
            </w:pPr>
          </w:p>
        </w:tc>
        <w:tc>
          <w:tcPr>
            <w:tcW w:w="1710" w:type="dxa"/>
            <w:tcBorders>
              <w:bottom w:val="nil"/>
            </w:tcBorders>
          </w:tcPr>
          <w:p w:rsidR="00EC375D" w:rsidRPr="007028AF" w:rsidRDefault="008921DB" w:rsidP="007B0F85">
            <w:pPr>
              <w:rPr>
                <w:b/>
                <w:szCs w:val="24"/>
              </w:rPr>
            </w:pPr>
            <w:r>
              <w:rPr>
                <w:b/>
                <w:szCs w:val="24"/>
              </w:rPr>
              <w:t>$</w:t>
            </w:r>
            <w:r w:rsidR="007B0F85">
              <w:rPr>
                <w:b/>
                <w:szCs w:val="24"/>
              </w:rPr>
              <w:t xml:space="preserve">1.51 </w:t>
            </w:r>
            <w:r w:rsidRPr="007028AF">
              <w:rPr>
                <w:b/>
                <w:szCs w:val="24"/>
              </w:rPr>
              <w:t>million</w:t>
            </w:r>
          </w:p>
        </w:tc>
      </w:tr>
      <w:tr w:rsidR="00EC375D" w:rsidTr="00CF0412">
        <w:tc>
          <w:tcPr>
            <w:tcW w:w="2332" w:type="dxa"/>
            <w:tcBorders>
              <w:top w:val="nil"/>
            </w:tcBorders>
          </w:tcPr>
          <w:p w:rsidR="00EC375D" w:rsidRPr="00C6151C" w:rsidRDefault="00EC375D" w:rsidP="00E534CB">
            <w:pPr>
              <w:rPr>
                <w:b/>
                <w:color w:val="FFFFFF" w:themeColor="background1"/>
                <w:szCs w:val="24"/>
              </w:rPr>
            </w:pPr>
            <w:r w:rsidRPr="00C6151C">
              <w:rPr>
                <w:b/>
                <w:color w:val="FFFFFF" w:themeColor="background1"/>
                <w:szCs w:val="24"/>
              </w:rPr>
              <w:t>-</w:t>
            </w:r>
          </w:p>
        </w:tc>
        <w:tc>
          <w:tcPr>
            <w:tcW w:w="5768" w:type="dxa"/>
            <w:tcBorders>
              <w:top w:val="nil"/>
            </w:tcBorders>
          </w:tcPr>
          <w:p w:rsidR="00526FC3" w:rsidRPr="001B3CCA" w:rsidRDefault="00EC375D" w:rsidP="00CD7359">
            <w:pPr>
              <w:pStyle w:val="ListParagraph"/>
            </w:pPr>
            <w:r w:rsidRPr="00C6151C">
              <w:t xml:space="preserve">In the spirit of differentiated support, the TDSB will ensure that schools in challenging circumstances will be supported and will have access. </w:t>
            </w:r>
          </w:p>
        </w:tc>
        <w:tc>
          <w:tcPr>
            <w:tcW w:w="1890" w:type="dxa"/>
            <w:tcBorders>
              <w:top w:val="nil"/>
            </w:tcBorders>
          </w:tcPr>
          <w:p w:rsidR="00EC375D" w:rsidRPr="00C6151C" w:rsidRDefault="00EC375D" w:rsidP="00E534CB">
            <w:pPr>
              <w:rPr>
                <w:szCs w:val="24"/>
              </w:rPr>
            </w:pPr>
            <w:r w:rsidRPr="00C6151C">
              <w:rPr>
                <w:color w:val="FFFFFF" w:themeColor="background1"/>
                <w:szCs w:val="24"/>
              </w:rPr>
              <w:t>-</w:t>
            </w:r>
          </w:p>
        </w:tc>
        <w:tc>
          <w:tcPr>
            <w:tcW w:w="1710" w:type="dxa"/>
            <w:tcBorders>
              <w:top w:val="nil"/>
            </w:tcBorders>
          </w:tcPr>
          <w:p w:rsidR="00EC375D" w:rsidRPr="007028AF" w:rsidRDefault="00EC375D" w:rsidP="00EC375D">
            <w:pPr>
              <w:rPr>
                <w:b/>
                <w:szCs w:val="24"/>
              </w:rPr>
            </w:pPr>
          </w:p>
        </w:tc>
        <w:tc>
          <w:tcPr>
            <w:tcW w:w="1710" w:type="dxa"/>
            <w:tcBorders>
              <w:top w:val="nil"/>
            </w:tcBorders>
          </w:tcPr>
          <w:p w:rsidR="00EC375D" w:rsidRPr="007028AF" w:rsidRDefault="00EC375D" w:rsidP="00175A99">
            <w:pPr>
              <w:rPr>
                <w:b/>
                <w:szCs w:val="24"/>
              </w:rPr>
            </w:pPr>
          </w:p>
        </w:tc>
      </w:tr>
      <w:tr w:rsidR="00EC375D" w:rsidTr="008A1E6F">
        <w:trPr>
          <w:trHeight w:val="1817"/>
        </w:trPr>
        <w:tc>
          <w:tcPr>
            <w:tcW w:w="2332" w:type="dxa"/>
            <w:shd w:val="clear" w:color="auto" w:fill="F2F2F2" w:themeFill="background1" w:themeFillShade="F2"/>
          </w:tcPr>
          <w:p w:rsidR="00EC375D" w:rsidRPr="00C6151C" w:rsidRDefault="00EC375D" w:rsidP="007874E1">
            <w:pPr>
              <w:spacing w:after="120"/>
              <w:rPr>
                <w:b/>
                <w:szCs w:val="24"/>
              </w:rPr>
            </w:pPr>
            <w:r w:rsidRPr="00C6151C">
              <w:rPr>
                <w:b/>
                <w:szCs w:val="24"/>
              </w:rPr>
              <w:t>Continuing Education</w:t>
            </w:r>
          </w:p>
          <w:p w:rsidR="001B3CCA" w:rsidRPr="00C6151C" w:rsidRDefault="00EC375D" w:rsidP="00E534CB">
            <w:pPr>
              <w:rPr>
                <w:b/>
                <w:szCs w:val="24"/>
              </w:rPr>
            </w:pPr>
            <w:r w:rsidRPr="00C6151C">
              <w:rPr>
                <w:b/>
                <w:szCs w:val="24"/>
              </w:rPr>
              <w:t>International Languages</w:t>
            </w:r>
          </w:p>
        </w:tc>
        <w:tc>
          <w:tcPr>
            <w:tcW w:w="5768" w:type="dxa"/>
            <w:shd w:val="clear" w:color="auto" w:fill="F2F2F2" w:themeFill="background1" w:themeFillShade="F2"/>
          </w:tcPr>
          <w:p w:rsidR="00ED6959" w:rsidRPr="00C6151C" w:rsidRDefault="00ED6959" w:rsidP="00ED6959">
            <w:pPr>
              <w:rPr>
                <w:b/>
                <w:szCs w:val="24"/>
              </w:rPr>
            </w:pPr>
            <w:r w:rsidRPr="00C6151C">
              <w:rPr>
                <w:b/>
                <w:szCs w:val="24"/>
              </w:rPr>
              <w:t>Proposed Changes:</w:t>
            </w:r>
          </w:p>
          <w:p w:rsidR="00EC375D" w:rsidRPr="00C6151C" w:rsidRDefault="00EC375D" w:rsidP="00E534CB">
            <w:pPr>
              <w:rPr>
                <w:b/>
                <w:szCs w:val="24"/>
              </w:rPr>
            </w:pPr>
            <w:r w:rsidRPr="00C6151C">
              <w:rPr>
                <w:b/>
                <w:szCs w:val="24"/>
              </w:rPr>
              <w:t xml:space="preserve">Eliminate the Integrated Day Program </w:t>
            </w:r>
          </w:p>
          <w:p w:rsidR="00E17676" w:rsidRPr="00B37418" w:rsidRDefault="00EC375D" w:rsidP="00CD7359">
            <w:pPr>
              <w:pStyle w:val="ListParagraph"/>
            </w:pPr>
            <w:r w:rsidRPr="00A54826">
              <w:t>10 sites, 6 languages, 3338 students (2017-18)</w:t>
            </w:r>
            <w:r w:rsidR="00B37418">
              <w:t>.</w:t>
            </w:r>
          </w:p>
        </w:tc>
        <w:tc>
          <w:tcPr>
            <w:tcW w:w="1890" w:type="dxa"/>
            <w:shd w:val="clear" w:color="auto" w:fill="F2F2F2" w:themeFill="background1" w:themeFillShade="F2"/>
          </w:tcPr>
          <w:p w:rsidR="00EC375D" w:rsidRPr="00C6151C" w:rsidRDefault="00EC375D" w:rsidP="00E534CB">
            <w:pPr>
              <w:rPr>
                <w:szCs w:val="24"/>
              </w:rPr>
            </w:pPr>
          </w:p>
        </w:tc>
        <w:tc>
          <w:tcPr>
            <w:tcW w:w="1710" w:type="dxa"/>
            <w:shd w:val="clear" w:color="auto" w:fill="F2F2F2" w:themeFill="background1" w:themeFillShade="F2"/>
          </w:tcPr>
          <w:p w:rsidR="00EC375D" w:rsidRPr="007028AF" w:rsidRDefault="00EC375D" w:rsidP="0043486C">
            <w:pPr>
              <w:rPr>
                <w:b/>
                <w:szCs w:val="24"/>
              </w:rPr>
            </w:pPr>
            <w:r w:rsidRPr="007028AF">
              <w:rPr>
                <w:b/>
                <w:szCs w:val="24"/>
              </w:rPr>
              <w:t>$0.</w:t>
            </w:r>
            <w:r w:rsidR="0043486C">
              <w:rPr>
                <w:b/>
                <w:szCs w:val="24"/>
              </w:rPr>
              <w:t>1</w:t>
            </w:r>
            <w:r w:rsidRPr="007028AF">
              <w:rPr>
                <w:b/>
                <w:szCs w:val="24"/>
              </w:rPr>
              <w:t xml:space="preserve"> million</w:t>
            </w:r>
          </w:p>
        </w:tc>
        <w:tc>
          <w:tcPr>
            <w:tcW w:w="1710" w:type="dxa"/>
            <w:shd w:val="clear" w:color="auto" w:fill="F2F2F2" w:themeFill="background1" w:themeFillShade="F2"/>
          </w:tcPr>
          <w:p w:rsidR="00EC375D" w:rsidRPr="007028AF" w:rsidRDefault="00EC375D" w:rsidP="00E534CB">
            <w:pPr>
              <w:rPr>
                <w:b/>
                <w:szCs w:val="24"/>
              </w:rPr>
            </w:pPr>
          </w:p>
        </w:tc>
      </w:tr>
      <w:tr w:rsidR="00EC375D" w:rsidTr="00CF0412">
        <w:tc>
          <w:tcPr>
            <w:tcW w:w="2332" w:type="dxa"/>
          </w:tcPr>
          <w:p w:rsidR="00EC375D" w:rsidRPr="00C6151C" w:rsidRDefault="00EC375D" w:rsidP="00E534CB">
            <w:pPr>
              <w:rPr>
                <w:b/>
                <w:szCs w:val="24"/>
              </w:rPr>
            </w:pPr>
            <w:r w:rsidRPr="00C6151C">
              <w:rPr>
                <w:b/>
                <w:szCs w:val="24"/>
              </w:rPr>
              <w:t>International Baccalaureate Program</w:t>
            </w:r>
          </w:p>
        </w:tc>
        <w:tc>
          <w:tcPr>
            <w:tcW w:w="5768" w:type="dxa"/>
          </w:tcPr>
          <w:p w:rsidR="00EC375D" w:rsidRPr="00C6151C" w:rsidRDefault="00EC375D" w:rsidP="00E534CB">
            <w:pPr>
              <w:rPr>
                <w:szCs w:val="24"/>
              </w:rPr>
            </w:pPr>
            <w:r w:rsidRPr="00C6151C">
              <w:rPr>
                <w:szCs w:val="24"/>
              </w:rPr>
              <w:t>Currently, the International Baccalaureate (IB) Program is offered at the elementary and secondary level at the TDSB.</w:t>
            </w:r>
          </w:p>
          <w:p w:rsidR="00EC375D" w:rsidRPr="00C6151C" w:rsidRDefault="00EC375D" w:rsidP="00E534CB">
            <w:pPr>
              <w:rPr>
                <w:b/>
                <w:szCs w:val="24"/>
              </w:rPr>
            </w:pPr>
            <w:r w:rsidRPr="00C6151C">
              <w:rPr>
                <w:b/>
                <w:szCs w:val="24"/>
              </w:rPr>
              <w:t>Proposed Changes:</w:t>
            </w:r>
          </w:p>
          <w:p w:rsidR="00EC375D" w:rsidRPr="00C6151C" w:rsidRDefault="00EC375D" w:rsidP="00E534CB">
            <w:pPr>
              <w:rPr>
                <w:b/>
                <w:szCs w:val="24"/>
              </w:rPr>
            </w:pPr>
            <w:r w:rsidRPr="00C6151C">
              <w:rPr>
                <w:b/>
                <w:szCs w:val="24"/>
              </w:rPr>
              <w:t>Eliminate the Elementary IB Program</w:t>
            </w:r>
          </w:p>
          <w:p w:rsidR="00EC375D" w:rsidRPr="00C6151C" w:rsidRDefault="00EC375D" w:rsidP="00CD7359">
            <w:pPr>
              <w:pStyle w:val="ListParagraph"/>
              <w:numPr>
                <w:ilvl w:val="0"/>
                <w:numId w:val="10"/>
              </w:numPr>
            </w:pPr>
            <w:r w:rsidRPr="00C6151C">
              <w:t xml:space="preserve">The Elementary IB program is offered at five schools. These elementary IB schools are open to students in their catchment areas. At this time, the TDSB cannot afford to grow these programs to ensure access to all students. </w:t>
            </w:r>
          </w:p>
          <w:p w:rsidR="00EC375D" w:rsidRPr="00C6151C" w:rsidRDefault="00EC375D" w:rsidP="00CD7359">
            <w:pPr>
              <w:pStyle w:val="ListParagraph"/>
              <w:numPr>
                <w:ilvl w:val="0"/>
                <w:numId w:val="10"/>
              </w:numPr>
            </w:pPr>
            <w:r w:rsidRPr="00C6151C">
              <w:t xml:space="preserve">When a school board offers the IB program, the International Baccalaureate Organization (IBO) requires that the majority of teachers teaching IB courses be IBO trained. In addition, it requires a minimum of .5 IBO coordinator to oversee all registrations, authorization, and adherence to the program objectives. </w:t>
            </w:r>
          </w:p>
          <w:p w:rsidR="00EC375D" w:rsidRPr="00C6151C" w:rsidRDefault="00EC375D" w:rsidP="00CD7359">
            <w:pPr>
              <w:pStyle w:val="ListParagraph"/>
              <w:numPr>
                <w:ilvl w:val="0"/>
                <w:numId w:val="10"/>
              </w:numPr>
            </w:pPr>
            <w:r w:rsidRPr="00C6151C">
              <w:t>The TDSB does not have the funds to support these requirements across the system any longer.</w:t>
            </w:r>
          </w:p>
          <w:p w:rsidR="00EC375D" w:rsidRPr="00C6151C" w:rsidRDefault="00EC375D" w:rsidP="00CD7359">
            <w:pPr>
              <w:pStyle w:val="ListParagraph"/>
              <w:numPr>
                <w:ilvl w:val="0"/>
                <w:numId w:val="10"/>
              </w:numPr>
            </w:pPr>
            <w:r w:rsidRPr="00C6151C">
              <w:t xml:space="preserve">Staff do not believe it is equitable for these resources to be directed to a small number of elementary schools when there is no way to sustain and scale this to a larger model. </w:t>
            </w:r>
          </w:p>
          <w:p w:rsidR="005A4217" w:rsidRDefault="00EC375D" w:rsidP="00CD7359">
            <w:pPr>
              <w:pStyle w:val="ListParagraph"/>
              <w:numPr>
                <w:ilvl w:val="0"/>
                <w:numId w:val="10"/>
              </w:numPr>
            </w:pPr>
            <w:r w:rsidRPr="00C6151C">
              <w:t>Staff believe that the infusion of global competencies over the last two years can replace the IB focus and can be part of every elementary school. Global competencies include the 5Cs – collaboration &amp; leadership, communication, creativity, inquiry &amp; entrepreneurship, critical thinking &amp; problem solving, global citizenship and character.</w:t>
            </w:r>
          </w:p>
          <w:p w:rsidR="00EC375D" w:rsidRPr="00C6151C" w:rsidRDefault="00EC375D" w:rsidP="009B0544">
            <w:pPr>
              <w:rPr>
                <w:b/>
                <w:szCs w:val="24"/>
              </w:rPr>
            </w:pPr>
            <w:r w:rsidRPr="00C6151C">
              <w:rPr>
                <w:b/>
                <w:szCs w:val="24"/>
              </w:rPr>
              <w:t>Continue the Secondary IB Program but change fee requirements</w:t>
            </w:r>
          </w:p>
          <w:p w:rsidR="00EC375D" w:rsidRPr="00C6151C" w:rsidRDefault="00EC375D" w:rsidP="00CD7359">
            <w:pPr>
              <w:pStyle w:val="ListParagraph"/>
              <w:numPr>
                <w:ilvl w:val="0"/>
                <w:numId w:val="10"/>
              </w:numPr>
            </w:pPr>
            <w:r w:rsidRPr="00C6151C">
              <w:t>The TDSB will continue to offer the IB Diploma program at the secondary level, but staff propose that associated per-student fees will no longer be covered by the TDSB.</w:t>
            </w:r>
          </w:p>
          <w:p w:rsidR="00EC375D" w:rsidRPr="00C6151C" w:rsidRDefault="00EC375D" w:rsidP="00CD7359">
            <w:pPr>
              <w:pStyle w:val="ListParagraph"/>
              <w:numPr>
                <w:ilvl w:val="0"/>
                <w:numId w:val="10"/>
              </w:numPr>
            </w:pPr>
            <w:r w:rsidRPr="00C6151C">
              <w:t>At the secondary level (9-12), 12% of IB students come from families who earn less than $50,000 per year.</w:t>
            </w:r>
          </w:p>
          <w:p w:rsidR="00EC375D" w:rsidRPr="00C6151C" w:rsidRDefault="00EC375D" w:rsidP="00C51B13">
            <w:pPr>
              <w:spacing w:before="240"/>
              <w:rPr>
                <w:b/>
                <w:szCs w:val="24"/>
              </w:rPr>
            </w:pPr>
            <w:r w:rsidRPr="00C6151C">
              <w:rPr>
                <w:szCs w:val="24"/>
              </w:rPr>
              <w:t>If this direction is approved, a sliding scale will be created to support IB Diploma students who would benefit from financial support.</w:t>
            </w:r>
          </w:p>
        </w:tc>
        <w:tc>
          <w:tcPr>
            <w:tcW w:w="1890" w:type="dxa"/>
          </w:tcPr>
          <w:p w:rsidR="00EC375D" w:rsidRPr="00C6151C" w:rsidRDefault="00EC375D" w:rsidP="00E534CB">
            <w:pPr>
              <w:rPr>
                <w:szCs w:val="24"/>
              </w:rPr>
            </w:pPr>
            <w:r w:rsidRPr="00C6151C">
              <w:rPr>
                <w:szCs w:val="24"/>
              </w:rPr>
              <w:t>Differentiated Approaches to Serve Our Students</w:t>
            </w:r>
          </w:p>
          <w:p w:rsidR="00EC375D" w:rsidRPr="00C6151C" w:rsidRDefault="00EC375D" w:rsidP="00E534CB">
            <w:pPr>
              <w:rPr>
                <w:szCs w:val="24"/>
              </w:rPr>
            </w:pPr>
            <w:r w:rsidRPr="00C6151C">
              <w:rPr>
                <w:szCs w:val="24"/>
              </w:rPr>
              <w:t>Allocate Human and Financial Resources Strategically to Support Student Needs</w:t>
            </w:r>
          </w:p>
        </w:tc>
        <w:tc>
          <w:tcPr>
            <w:tcW w:w="1710" w:type="dxa"/>
          </w:tcPr>
          <w:p w:rsidR="00EC375D" w:rsidRPr="007028AF" w:rsidRDefault="00EC375D" w:rsidP="00B143B5">
            <w:pPr>
              <w:rPr>
                <w:b/>
                <w:szCs w:val="24"/>
              </w:rPr>
            </w:pPr>
            <w:r w:rsidRPr="007028AF">
              <w:rPr>
                <w:b/>
                <w:szCs w:val="24"/>
              </w:rPr>
              <w:t>$</w:t>
            </w:r>
            <w:r w:rsidR="00B143B5">
              <w:rPr>
                <w:b/>
                <w:szCs w:val="24"/>
              </w:rPr>
              <w:t>0.12</w:t>
            </w:r>
            <w:r w:rsidRPr="007028AF">
              <w:rPr>
                <w:b/>
                <w:szCs w:val="24"/>
              </w:rPr>
              <w:t xml:space="preserve"> million</w:t>
            </w:r>
          </w:p>
        </w:tc>
        <w:tc>
          <w:tcPr>
            <w:tcW w:w="1710" w:type="dxa"/>
          </w:tcPr>
          <w:p w:rsidR="00EC375D" w:rsidRPr="007028AF" w:rsidRDefault="00B143B5" w:rsidP="00E534CB">
            <w:pPr>
              <w:rPr>
                <w:b/>
                <w:szCs w:val="24"/>
              </w:rPr>
            </w:pPr>
            <w:r>
              <w:rPr>
                <w:b/>
                <w:szCs w:val="24"/>
              </w:rPr>
              <w:t>$1.54 million</w:t>
            </w:r>
          </w:p>
        </w:tc>
      </w:tr>
      <w:tr w:rsidR="00EC375D" w:rsidTr="001B3CCA">
        <w:trPr>
          <w:trHeight w:val="1061"/>
        </w:trPr>
        <w:tc>
          <w:tcPr>
            <w:tcW w:w="2332" w:type="dxa"/>
            <w:shd w:val="clear" w:color="auto" w:fill="F2F2F2" w:themeFill="background1" w:themeFillShade="F2"/>
          </w:tcPr>
          <w:p w:rsidR="00EC375D" w:rsidRPr="00C6151C" w:rsidRDefault="00EC375D" w:rsidP="00E534CB">
            <w:pPr>
              <w:rPr>
                <w:b/>
                <w:szCs w:val="24"/>
              </w:rPr>
            </w:pPr>
            <w:r w:rsidRPr="00C6151C">
              <w:rPr>
                <w:b/>
                <w:szCs w:val="24"/>
              </w:rPr>
              <w:t>School Budgets</w:t>
            </w:r>
          </w:p>
        </w:tc>
        <w:tc>
          <w:tcPr>
            <w:tcW w:w="5768" w:type="dxa"/>
            <w:shd w:val="clear" w:color="auto" w:fill="F2F2F2" w:themeFill="background1" w:themeFillShade="F2"/>
          </w:tcPr>
          <w:p w:rsidR="00EC375D" w:rsidRPr="00C6151C" w:rsidRDefault="00EC375D" w:rsidP="00E534CB">
            <w:pPr>
              <w:rPr>
                <w:szCs w:val="24"/>
              </w:rPr>
            </w:pPr>
            <w:r w:rsidRPr="00C6151C">
              <w:rPr>
                <w:szCs w:val="24"/>
              </w:rPr>
              <w:t>All schools have annual budgets that are used to support school improvement. Money provided is based on the school budget allocation model. Although a model is used to determine amounts, schools have flexibility in administering their budgets.</w:t>
            </w:r>
          </w:p>
          <w:p w:rsidR="00EC375D" w:rsidRPr="00C6151C" w:rsidRDefault="00EC375D" w:rsidP="00E534CB">
            <w:pPr>
              <w:rPr>
                <w:b/>
                <w:szCs w:val="24"/>
              </w:rPr>
            </w:pPr>
            <w:r w:rsidRPr="00C6151C">
              <w:rPr>
                <w:b/>
                <w:szCs w:val="24"/>
              </w:rPr>
              <w:t>Proposed Change:</w:t>
            </w:r>
          </w:p>
          <w:p w:rsidR="00EC375D" w:rsidRPr="00C6151C" w:rsidRDefault="00EC375D" w:rsidP="00E534CB">
            <w:pPr>
              <w:rPr>
                <w:szCs w:val="24"/>
              </w:rPr>
            </w:pPr>
            <w:r w:rsidRPr="00C6151C">
              <w:rPr>
                <w:szCs w:val="24"/>
              </w:rPr>
              <w:t>Some schools do not fully utilize their budgets each year. In 2017-18, there was a $15 million dollar school budget surplus. As a result, a 5% school budget reduction is being proposed.</w:t>
            </w:r>
          </w:p>
          <w:p w:rsidR="00EC375D" w:rsidRPr="00C6151C" w:rsidRDefault="00EC375D" w:rsidP="00E534CB">
            <w:pPr>
              <w:rPr>
                <w:szCs w:val="24"/>
              </w:rPr>
            </w:pPr>
            <w:r w:rsidRPr="00C6151C">
              <w:rPr>
                <w:szCs w:val="24"/>
              </w:rPr>
              <w:t xml:space="preserve">Not all schools would experience a 5% reduction. Staff have analyzed years of data and decisions on reduction amount will be made based on: </w:t>
            </w:r>
          </w:p>
          <w:p w:rsidR="00EC375D" w:rsidRPr="00C6151C" w:rsidRDefault="00EC375D" w:rsidP="00CD7359">
            <w:pPr>
              <w:pStyle w:val="ListParagraph"/>
              <w:numPr>
                <w:ilvl w:val="0"/>
                <w:numId w:val="25"/>
              </w:numPr>
            </w:pPr>
            <w:r w:rsidRPr="00C6151C">
              <w:t xml:space="preserve">Access to fundraising dollars </w:t>
            </w:r>
          </w:p>
          <w:p w:rsidR="00EC375D" w:rsidRPr="00C6151C" w:rsidRDefault="00EC375D" w:rsidP="00CD7359">
            <w:pPr>
              <w:pStyle w:val="ListParagraph"/>
              <w:numPr>
                <w:ilvl w:val="0"/>
                <w:numId w:val="25"/>
              </w:numPr>
            </w:pPr>
            <w:r w:rsidRPr="00C6151C">
              <w:t>End of year school budget surplus</w:t>
            </w:r>
          </w:p>
          <w:p w:rsidR="00EC375D" w:rsidRPr="00C6151C" w:rsidRDefault="00EC375D" w:rsidP="00CD7359">
            <w:pPr>
              <w:pStyle w:val="ListParagraph"/>
              <w:numPr>
                <w:ilvl w:val="0"/>
                <w:numId w:val="25"/>
              </w:numPr>
            </w:pPr>
            <w:r w:rsidRPr="00C6151C">
              <w:t>Number of students who may be experiencing greater socio-economic challenges</w:t>
            </w:r>
          </w:p>
          <w:p w:rsidR="00EC375D" w:rsidRPr="00C6151C" w:rsidRDefault="00EC375D" w:rsidP="00CD7359">
            <w:pPr>
              <w:pStyle w:val="ListParagraph"/>
              <w:numPr>
                <w:ilvl w:val="0"/>
                <w:numId w:val="25"/>
              </w:numPr>
            </w:pPr>
            <w:r w:rsidRPr="00C6151C">
              <w:t xml:space="preserve">Size of the school (smaller schools have more challenges than larger schools in terms of dollars)  </w:t>
            </w:r>
          </w:p>
        </w:tc>
        <w:tc>
          <w:tcPr>
            <w:tcW w:w="1890" w:type="dxa"/>
            <w:shd w:val="clear" w:color="auto" w:fill="F2F2F2" w:themeFill="background1" w:themeFillShade="F2"/>
          </w:tcPr>
          <w:p w:rsidR="00EC375D" w:rsidRPr="00C6151C" w:rsidRDefault="00EC375D" w:rsidP="00E534CB">
            <w:pPr>
              <w:rPr>
                <w:szCs w:val="24"/>
              </w:rPr>
            </w:pPr>
            <w:r w:rsidRPr="00C6151C">
              <w:rPr>
                <w:szCs w:val="24"/>
              </w:rPr>
              <w:t>Differentiated Approaches to Serve Our Students</w:t>
            </w:r>
          </w:p>
        </w:tc>
        <w:tc>
          <w:tcPr>
            <w:tcW w:w="1710" w:type="dxa"/>
            <w:shd w:val="clear" w:color="auto" w:fill="F2F2F2" w:themeFill="background1" w:themeFillShade="F2"/>
          </w:tcPr>
          <w:p w:rsidR="00EC375D" w:rsidRPr="007028AF" w:rsidRDefault="00EC375D" w:rsidP="00C51B13">
            <w:pPr>
              <w:rPr>
                <w:b/>
                <w:szCs w:val="24"/>
              </w:rPr>
            </w:pPr>
            <w:r w:rsidRPr="007028AF">
              <w:rPr>
                <w:b/>
                <w:szCs w:val="24"/>
              </w:rPr>
              <w:t>$</w:t>
            </w:r>
            <w:r w:rsidR="00C51B13">
              <w:rPr>
                <w:b/>
                <w:szCs w:val="24"/>
              </w:rPr>
              <w:t>2</w:t>
            </w:r>
            <w:r w:rsidRPr="007028AF">
              <w:rPr>
                <w:b/>
                <w:szCs w:val="24"/>
              </w:rPr>
              <w:t>.37 million</w:t>
            </w:r>
          </w:p>
        </w:tc>
        <w:tc>
          <w:tcPr>
            <w:tcW w:w="1710" w:type="dxa"/>
            <w:shd w:val="clear" w:color="auto" w:fill="F2F2F2" w:themeFill="background1" w:themeFillShade="F2"/>
          </w:tcPr>
          <w:p w:rsidR="00EC375D" w:rsidRPr="007028AF" w:rsidRDefault="00EC375D" w:rsidP="00E534CB">
            <w:pPr>
              <w:rPr>
                <w:b/>
                <w:szCs w:val="24"/>
              </w:rPr>
            </w:pPr>
          </w:p>
        </w:tc>
      </w:tr>
      <w:tr w:rsidR="00EC375D" w:rsidTr="00CF0412">
        <w:tc>
          <w:tcPr>
            <w:tcW w:w="2332" w:type="dxa"/>
          </w:tcPr>
          <w:p w:rsidR="00EC375D" w:rsidRPr="00C6151C" w:rsidRDefault="00EC375D" w:rsidP="00E534CB">
            <w:pPr>
              <w:rPr>
                <w:b/>
                <w:szCs w:val="24"/>
              </w:rPr>
            </w:pPr>
            <w:r w:rsidRPr="00C6151C">
              <w:rPr>
                <w:b/>
                <w:szCs w:val="24"/>
              </w:rPr>
              <w:t>Student Support Services</w:t>
            </w:r>
          </w:p>
        </w:tc>
        <w:tc>
          <w:tcPr>
            <w:tcW w:w="5768" w:type="dxa"/>
          </w:tcPr>
          <w:p w:rsidR="00EC375D" w:rsidRPr="00C6151C" w:rsidRDefault="00EC375D" w:rsidP="00E534CB">
            <w:pPr>
              <w:rPr>
                <w:szCs w:val="24"/>
              </w:rPr>
            </w:pPr>
            <w:r w:rsidRPr="00C6151C">
              <w:rPr>
                <w:szCs w:val="24"/>
              </w:rPr>
              <w:t xml:space="preserve">The TDSB offers a variety of student support services and where appropriate, they also work with staff. Other services provided include attendance counselling, assessment, treatment, counselling, mental health education, crisis intervention and support. </w:t>
            </w:r>
          </w:p>
          <w:p w:rsidR="00EC375D" w:rsidRPr="00C6151C" w:rsidRDefault="00EC375D" w:rsidP="00E534CB">
            <w:pPr>
              <w:rPr>
                <w:szCs w:val="24"/>
              </w:rPr>
            </w:pPr>
            <w:r w:rsidRPr="00C6151C">
              <w:rPr>
                <w:szCs w:val="24"/>
              </w:rPr>
              <w:t>Many staff in this department are registered with or supervised by staff who belong to the following professions:</w:t>
            </w:r>
          </w:p>
          <w:p w:rsidR="00EC375D" w:rsidRPr="00C6151C" w:rsidRDefault="00EC375D" w:rsidP="00CD7359">
            <w:pPr>
              <w:pStyle w:val="ListParagraph"/>
              <w:numPr>
                <w:ilvl w:val="0"/>
                <w:numId w:val="18"/>
              </w:numPr>
            </w:pPr>
            <w:r w:rsidRPr="00C6151C">
              <w:t xml:space="preserve">Psychology staff </w:t>
            </w:r>
          </w:p>
          <w:p w:rsidR="00EC375D" w:rsidRPr="00C6151C" w:rsidRDefault="00EC375D" w:rsidP="00CD7359">
            <w:pPr>
              <w:pStyle w:val="ListParagraph"/>
              <w:numPr>
                <w:ilvl w:val="0"/>
                <w:numId w:val="18"/>
              </w:numPr>
            </w:pPr>
            <w:r w:rsidRPr="00C6151C">
              <w:t xml:space="preserve">Social Workers </w:t>
            </w:r>
          </w:p>
          <w:p w:rsidR="00EC375D" w:rsidRPr="00C6151C" w:rsidRDefault="006825F1" w:rsidP="00CD7359">
            <w:pPr>
              <w:pStyle w:val="ListParagraph"/>
              <w:numPr>
                <w:ilvl w:val="0"/>
                <w:numId w:val="18"/>
              </w:numPr>
            </w:pPr>
            <w:r w:rsidRPr="006825F1">
              <w:rPr>
                <w:noProof/>
              </w:rPr>
              <mc:AlternateContent>
                <mc:Choice Requires="wps">
                  <w:drawing>
                    <wp:anchor distT="0" distB="0" distL="114300" distR="114300" simplePos="0" relativeHeight="251659264" behindDoc="0" locked="0" layoutInCell="1" allowOverlap="1" wp14:anchorId="23EBDD1A" wp14:editId="2A8DE1EC">
                      <wp:simplePos x="0" y="0"/>
                      <wp:positionH relativeFrom="column">
                        <wp:posOffset>5173793</wp:posOffset>
                      </wp:positionH>
                      <wp:positionV relativeFrom="paragraph">
                        <wp:posOffset>-1866900</wp:posOffset>
                      </wp:positionV>
                      <wp:extent cx="1548765" cy="396150"/>
                      <wp:effectExtent l="0" t="0" r="1333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396150"/>
                              </a:xfrm>
                              <a:prstGeom prst="rect">
                                <a:avLst/>
                              </a:prstGeom>
                              <a:solidFill>
                                <a:srgbClr val="FFFFFF"/>
                              </a:solidFill>
                              <a:ln w="9525">
                                <a:solidFill>
                                  <a:srgbClr val="000000"/>
                                </a:solidFill>
                                <a:miter lim="800000"/>
                                <a:headEnd/>
                                <a:tailEnd/>
                              </a:ln>
                            </wps:spPr>
                            <wps:txbx>
                              <w:txbxContent>
                                <w:p w:rsidR="006825F1" w:rsidRDefault="006825F1" w:rsidP="006825F1">
                                  <w:pPr>
                                    <w:jc w:val="center"/>
                                  </w:pPr>
                                  <w:r>
                                    <w:t>REVISED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7.4pt;margin-top:-147pt;width:121.9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">
                      <v:textbox>
                        <w:txbxContent>
                          <w:p w:rsidR="006825F1" w:rsidRDefault="006825F1" w:rsidP="006825F1">
                            <w:pPr>
                              <w:jc w:val="center"/>
                            </w:pPr>
                            <w:r>
                              <w:t>REVISED PAGE</w:t>
                            </w:r>
                          </w:p>
                        </w:txbxContent>
                      </v:textbox>
                    </v:shape>
                  </w:pict>
                </mc:Fallback>
              </mc:AlternateContent>
            </w:r>
            <w:r w:rsidR="00EC375D" w:rsidRPr="00C6151C">
              <w:t xml:space="preserve">Audiologists and Speech-Language Pathologists </w:t>
            </w:r>
          </w:p>
          <w:p w:rsidR="00EC375D" w:rsidRPr="00C6151C" w:rsidRDefault="00EC375D" w:rsidP="00CD7359">
            <w:pPr>
              <w:pStyle w:val="ListParagraph"/>
              <w:numPr>
                <w:ilvl w:val="0"/>
                <w:numId w:val="18"/>
              </w:numPr>
            </w:pPr>
            <w:r w:rsidRPr="00C6151C">
              <w:t xml:space="preserve">Occupational Therapists and Physiotherapists </w:t>
            </w:r>
          </w:p>
          <w:p w:rsidR="00EC375D" w:rsidRDefault="00EC375D" w:rsidP="00CD7359">
            <w:pPr>
              <w:pStyle w:val="ListParagraph"/>
              <w:numPr>
                <w:ilvl w:val="0"/>
                <w:numId w:val="18"/>
              </w:numPr>
            </w:pPr>
            <w:r w:rsidRPr="00C6151C">
              <w:t>Child and Youth Workers and Child and Youth Counsellors</w:t>
            </w:r>
          </w:p>
          <w:p w:rsidR="00EC375D" w:rsidRPr="00C6151C" w:rsidRDefault="00EC375D" w:rsidP="00C51B13">
            <w:pPr>
              <w:spacing w:before="240"/>
              <w:rPr>
                <w:b/>
                <w:szCs w:val="24"/>
              </w:rPr>
            </w:pPr>
            <w:r w:rsidRPr="00C6151C">
              <w:rPr>
                <w:b/>
                <w:szCs w:val="24"/>
              </w:rPr>
              <w:t xml:space="preserve">Proposed Changes: </w:t>
            </w:r>
          </w:p>
          <w:p w:rsidR="00EC375D" w:rsidRPr="00C6151C" w:rsidRDefault="00EC375D" w:rsidP="00226B71">
            <w:pPr>
              <w:pStyle w:val="ListParagraph"/>
              <w:numPr>
                <w:ilvl w:val="0"/>
                <w:numId w:val="18"/>
              </w:numPr>
              <w:spacing w:before="120" w:after="0"/>
            </w:pPr>
            <w:r w:rsidRPr="00C6151C">
              <w:t xml:space="preserve">Student Support Services Administration from 30 to 26 </w:t>
            </w:r>
          </w:p>
          <w:p w:rsidR="00EC375D" w:rsidRDefault="00EC375D" w:rsidP="00226B71">
            <w:pPr>
              <w:pStyle w:val="ListParagraph"/>
              <w:numPr>
                <w:ilvl w:val="0"/>
                <w:numId w:val="18"/>
              </w:numPr>
              <w:spacing w:before="120" w:after="0"/>
            </w:pPr>
            <w:r w:rsidRPr="00C6151C">
              <w:t xml:space="preserve">Psychology Staff from 138 to 128 </w:t>
            </w:r>
          </w:p>
          <w:p w:rsidR="00855FB6" w:rsidRPr="006825F1" w:rsidRDefault="00855FB6" w:rsidP="00226B71">
            <w:pPr>
              <w:pStyle w:val="PlainText"/>
              <w:numPr>
                <w:ilvl w:val="0"/>
                <w:numId w:val="18"/>
              </w:numPr>
              <w:rPr>
                <w:rFonts w:ascii="Arial" w:hAnsi="Arial" w:cs="Arial"/>
                <w:color w:val="000000" w:themeColor="text1"/>
                <w:sz w:val="24"/>
                <w:szCs w:val="24"/>
              </w:rPr>
            </w:pPr>
            <w:r w:rsidRPr="006825F1">
              <w:rPr>
                <w:rFonts w:ascii="Arial" w:hAnsi="Arial" w:cs="Arial"/>
                <w:b/>
                <w:color w:val="000000" w:themeColor="text1"/>
                <w:sz w:val="24"/>
                <w:szCs w:val="24"/>
              </w:rPr>
              <w:t>*</w:t>
            </w:r>
            <w:r w:rsidRPr="006825F1">
              <w:rPr>
                <w:rFonts w:ascii="Arial" w:hAnsi="Arial" w:cs="Arial"/>
                <w:color w:val="000000" w:themeColor="text1"/>
                <w:sz w:val="24"/>
                <w:szCs w:val="24"/>
              </w:rPr>
              <w:t xml:space="preserve">Speech and Language Pathologist </w:t>
            </w:r>
            <w:r w:rsidR="009A7448" w:rsidRPr="006825F1">
              <w:rPr>
                <w:rFonts w:ascii="Arial" w:hAnsi="Arial" w:cs="Arial"/>
                <w:color w:val="000000" w:themeColor="text1"/>
                <w:sz w:val="24"/>
                <w:szCs w:val="24"/>
              </w:rPr>
              <w:t xml:space="preserve">from </w:t>
            </w:r>
            <w:r w:rsidR="009A7448" w:rsidRPr="006825F1">
              <w:rPr>
                <w:rFonts w:ascii="Arial" w:hAnsi="Arial" w:cs="Arial"/>
                <w:strike/>
                <w:color w:val="000000" w:themeColor="text1"/>
                <w:sz w:val="24"/>
                <w:szCs w:val="24"/>
              </w:rPr>
              <w:t>111.5 to 107.5</w:t>
            </w:r>
            <w:r w:rsidRPr="006825F1">
              <w:rPr>
                <w:rFonts w:ascii="Arial" w:hAnsi="Arial" w:cs="Arial"/>
                <w:strike/>
                <w:color w:val="000000" w:themeColor="text1"/>
                <w:sz w:val="24"/>
                <w:szCs w:val="24"/>
              </w:rPr>
              <w:t xml:space="preserve"> FTE</w:t>
            </w:r>
            <w:r w:rsidR="006825F1" w:rsidRPr="006825F1">
              <w:rPr>
                <w:rFonts w:ascii="Arial" w:hAnsi="Arial" w:cs="Arial"/>
                <w:color w:val="000000" w:themeColor="text1"/>
                <w:sz w:val="24"/>
                <w:szCs w:val="24"/>
              </w:rPr>
              <w:t xml:space="preserve"> </w:t>
            </w:r>
            <w:r w:rsidR="006825F1">
              <w:rPr>
                <w:rFonts w:ascii="Arial" w:hAnsi="Arial" w:cs="Arial"/>
                <w:color w:val="000000" w:themeColor="text1"/>
                <w:sz w:val="24"/>
                <w:szCs w:val="24"/>
                <w:highlight w:val="yellow"/>
              </w:rPr>
              <w:t xml:space="preserve">82.5 </w:t>
            </w:r>
            <w:r w:rsidR="0028274F">
              <w:rPr>
                <w:rFonts w:ascii="Arial" w:hAnsi="Arial" w:cs="Arial"/>
                <w:color w:val="000000" w:themeColor="text1"/>
                <w:sz w:val="24"/>
                <w:szCs w:val="24"/>
                <w:highlight w:val="yellow"/>
              </w:rPr>
              <w:t>to 79.</w:t>
            </w:r>
            <w:r w:rsidR="006825F1" w:rsidRPr="006825F1">
              <w:rPr>
                <w:rFonts w:ascii="Arial" w:hAnsi="Arial" w:cs="Arial"/>
                <w:color w:val="000000" w:themeColor="text1"/>
                <w:sz w:val="24"/>
                <w:szCs w:val="24"/>
                <w:highlight w:val="yellow"/>
              </w:rPr>
              <w:t>5 (3 FTE)</w:t>
            </w:r>
          </w:p>
          <w:p w:rsidR="00855FB6" w:rsidRPr="006825F1" w:rsidRDefault="00855FB6" w:rsidP="00226B71">
            <w:pPr>
              <w:pStyle w:val="ListParagraph"/>
              <w:numPr>
                <w:ilvl w:val="0"/>
                <w:numId w:val="18"/>
              </w:numPr>
              <w:spacing w:before="120" w:after="0"/>
            </w:pPr>
            <w:r w:rsidRPr="006825F1">
              <w:rPr>
                <w:b/>
              </w:rPr>
              <w:t>*</w:t>
            </w:r>
            <w:r w:rsidRPr="006825F1">
              <w:t>Social Workers</w:t>
            </w:r>
            <w:r w:rsidR="009A7448" w:rsidRPr="006825F1">
              <w:t xml:space="preserve"> from </w:t>
            </w:r>
            <w:r w:rsidR="009A7448" w:rsidRPr="006825F1">
              <w:rPr>
                <w:strike/>
              </w:rPr>
              <w:t>82.2 to 79.7</w:t>
            </w:r>
            <w:r w:rsidRPr="006825F1">
              <w:rPr>
                <w:strike/>
              </w:rPr>
              <w:t xml:space="preserve"> FTE</w:t>
            </w:r>
            <w:r w:rsidR="006825F1">
              <w:t xml:space="preserve"> </w:t>
            </w:r>
            <w:r w:rsidR="006825F1" w:rsidRPr="006825F1">
              <w:rPr>
                <w:highlight w:val="yellow"/>
              </w:rPr>
              <w:t>111.5 to 107.0 (4.5 FTE)</w:t>
            </w:r>
          </w:p>
          <w:p w:rsidR="00EC375D" w:rsidRDefault="00EC375D" w:rsidP="00C51B13">
            <w:pPr>
              <w:spacing w:before="240"/>
              <w:rPr>
                <w:szCs w:val="24"/>
              </w:rPr>
            </w:pPr>
            <w:r w:rsidRPr="00C6151C">
              <w:rPr>
                <w:szCs w:val="24"/>
              </w:rPr>
              <w:t>Psychological staff provides valuable services to students. Expectations with regards to their attendance at meetings will be reduced so more time will be spent supporting students’ needs.</w:t>
            </w:r>
          </w:p>
          <w:p w:rsidR="00855FB6" w:rsidRPr="00C6151C" w:rsidRDefault="002A225C" w:rsidP="00142EA8">
            <w:pPr>
              <w:spacing w:before="240"/>
              <w:rPr>
                <w:b/>
                <w:szCs w:val="24"/>
              </w:rPr>
            </w:pPr>
            <w:r w:rsidRPr="00B8779C">
              <w:rPr>
                <w:sz w:val="22"/>
                <w:szCs w:val="24"/>
              </w:rPr>
              <w:t>*This reduction was proposed to assist with balancing the 2019-20 budget.  However, this reduction is not sustainable in the long-term and equivalent resources will be reinstated in 2020-</w:t>
            </w:r>
            <w:r w:rsidR="00142EA8" w:rsidRPr="00B8779C">
              <w:rPr>
                <w:sz w:val="22"/>
                <w:szCs w:val="24"/>
              </w:rPr>
              <w:t>21.</w:t>
            </w:r>
          </w:p>
        </w:tc>
        <w:tc>
          <w:tcPr>
            <w:tcW w:w="1890" w:type="dxa"/>
          </w:tcPr>
          <w:p w:rsidR="00EC375D" w:rsidRPr="00C6151C" w:rsidRDefault="00EC375D" w:rsidP="00E534CB">
            <w:pPr>
              <w:rPr>
                <w:szCs w:val="24"/>
              </w:rPr>
            </w:pPr>
            <w:r w:rsidRPr="00C6151C">
              <w:rPr>
                <w:szCs w:val="24"/>
              </w:rPr>
              <w:t>Differentiated Approaches to Serve Our Students</w:t>
            </w:r>
          </w:p>
          <w:p w:rsidR="00EC375D" w:rsidRPr="00C6151C" w:rsidRDefault="00EC375D" w:rsidP="00E534CB">
            <w:pPr>
              <w:rPr>
                <w:szCs w:val="24"/>
              </w:rPr>
            </w:pPr>
            <w:r w:rsidRPr="00C6151C">
              <w:rPr>
                <w:szCs w:val="24"/>
              </w:rPr>
              <w:t>Student Success</w:t>
            </w:r>
          </w:p>
          <w:p w:rsidR="00EC375D" w:rsidRPr="00C6151C" w:rsidRDefault="00EC375D" w:rsidP="00E534CB">
            <w:pPr>
              <w:rPr>
                <w:szCs w:val="24"/>
              </w:rPr>
            </w:pPr>
            <w:r w:rsidRPr="00C6151C">
              <w:rPr>
                <w:szCs w:val="24"/>
              </w:rPr>
              <w:t>Early Years</w:t>
            </w:r>
          </w:p>
          <w:p w:rsidR="00EC375D" w:rsidRPr="00C6151C" w:rsidRDefault="00EC375D" w:rsidP="00E534CB">
            <w:pPr>
              <w:rPr>
                <w:szCs w:val="24"/>
              </w:rPr>
            </w:pPr>
            <w:r w:rsidRPr="00C6151C">
              <w:rPr>
                <w:szCs w:val="24"/>
              </w:rPr>
              <w:t>Student Voice</w:t>
            </w:r>
          </w:p>
        </w:tc>
        <w:tc>
          <w:tcPr>
            <w:tcW w:w="1710" w:type="dxa"/>
          </w:tcPr>
          <w:p w:rsidR="00EC375D" w:rsidRPr="007028AF" w:rsidRDefault="00EC375D" w:rsidP="005D7672">
            <w:pPr>
              <w:rPr>
                <w:b/>
                <w:szCs w:val="24"/>
              </w:rPr>
            </w:pPr>
            <w:r w:rsidRPr="007028AF">
              <w:rPr>
                <w:b/>
                <w:szCs w:val="24"/>
              </w:rPr>
              <w:t>$</w:t>
            </w:r>
            <w:r w:rsidR="005D7672">
              <w:rPr>
                <w:b/>
                <w:szCs w:val="24"/>
              </w:rPr>
              <w:t>2.6</w:t>
            </w:r>
            <w:r w:rsidRPr="007028AF">
              <w:rPr>
                <w:b/>
                <w:szCs w:val="24"/>
              </w:rPr>
              <w:t xml:space="preserve"> million</w:t>
            </w:r>
          </w:p>
        </w:tc>
        <w:tc>
          <w:tcPr>
            <w:tcW w:w="1710" w:type="dxa"/>
          </w:tcPr>
          <w:p w:rsidR="00EC375D" w:rsidRPr="007028AF" w:rsidRDefault="00A8391A" w:rsidP="00E534CB">
            <w:pPr>
              <w:rPr>
                <w:b/>
                <w:szCs w:val="24"/>
              </w:rPr>
            </w:pPr>
            <w:r>
              <w:rPr>
                <w:b/>
                <w:szCs w:val="24"/>
              </w:rPr>
              <w:t>($</w:t>
            </w:r>
            <w:r w:rsidR="00783655">
              <w:rPr>
                <w:b/>
                <w:szCs w:val="24"/>
              </w:rPr>
              <w:t>0.9) million</w:t>
            </w:r>
          </w:p>
        </w:tc>
      </w:tr>
      <w:tr w:rsidR="00EC375D" w:rsidTr="00CF0412">
        <w:tc>
          <w:tcPr>
            <w:tcW w:w="2332" w:type="dxa"/>
            <w:shd w:val="clear" w:color="auto" w:fill="F2F2F2" w:themeFill="background1" w:themeFillShade="F2"/>
          </w:tcPr>
          <w:p w:rsidR="00EC375D" w:rsidRPr="00C6151C" w:rsidRDefault="00EC375D" w:rsidP="00E534CB">
            <w:pPr>
              <w:rPr>
                <w:b/>
                <w:szCs w:val="24"/>
              </w:rPr>
            </w:pPr>
            <w:r w:rsidRPr="00C6151C">
              <w:rPr>
                <w:b/>
                <w:szCs w:val="24"/>
              </w:rPr>
              <w:t>Leadership and Learning</w:t>
            </w:r>
          </w:p>
        </w:tc>
        <w:tc>
          <w:tcPr>
            <w:tcW w:w="5768" w:type="dxa"/>
            <w:shd w:val="clear" w:color="auto" w:fill="F2F2F2" w:themeFill="background1" w:themeFillShade="F2"/>
          </w:tcPr>
          <w:p w:rsidR="00EC375D" w:rsidRPr="00C6151C" w:rsidRDefault="00EC375D" w:rsidP="00E534CB">
            <w:pPr>
              <w:rPr>
                <w:szCs w:val="24"/>
              </w:rPr>
            </w:pPr>
            <w:r w:rsidRPr="00C6151C">
              <w:rPr>
                <w:szCs w:val="24"/>
              </w:rPr>
              <w:t xml:space="preserve">The TDSB recognizes the value of a centrally-assigned core team for coordination of system-wide program implementation, student events, and professional learning in the areas of system and Ministry priorities. </w:t>
            </w:r>
          </w:p>
          <w:p w:rsidR="00EC375D" w:rsidRPr="00C6151C" w:rsidRDefault="00EC375D" w:rsidP="00E534CB">
            <w:pPr>
              <w:rPr>
                <w:szCs w:val="24"/>
              </w:rPr>
            </w:pPr>
            <w:r w:rsidRPr="00C6151C">
              <w:rPr>
                <w:szCs w:val="24"/>
              </w:rPr>
              <w:t>A reduction, not elimination, of these functions is being proposed to address the budget deficits, at the same time as maintaining a focus on the Strategic Budget Drivers and Multi-Year Strategic Plan.</w:t>
            </w:r>
          </w:p>
          <w:p w:rsidR="00EC375D" w:rsidRPr="00C6151C" w:rsidRDefault="00EC375D" w:rsidP="00E534CB">
            <w:pPr>
              <w:rPr>
                <w:szCs w:val="24"/>
              </w:rPr>
            </w:pPr>
            <w:r w:rsidRPr="00C6151C">
              <w:rPr>
                <w:szCs w:val="24"/>
              </w:rPr>
              <w:t>Health &amp; Phys. Ed., Arts, Music/Science/STEM</w:t>
            </w:r>
          </w:p>
          <w:p w:rsidR="00EC375D" w:rsidRPr="00C6151C" w:rsidRDefault="00EC375D" w:rsidP="00E534CB">
            <w:pPr>
              <w:rPr>
                <w:szCs w:val="24"/>
              </w:rPr>
            </w:pPr>
            <w:r w:rsidRPr="00C6151C">
              <w:rPr>
                <w:szCs w:val="24"/>
              </w:rPr>
              <w:t xml:space="preserve">These teams serve the system by providing professional learning for educators, and service for students by coordinating events, competitions and performances, and supporting school-based staff. The Science/STEM team provides science kits for educator use with students, coordination of Robotics competitions, as well as school-based safety monitoring for Science and Technology.  A reduction in allocation to the core team to continue to provide direct service for student events and curriculum support for educators is being proposed. </w:t>
            </w:r>
          </w:p>
          <w:p w:rsidR="00EC375D" w:rsidRPr="00C51B13" w:rsidRDefault="00EC375D" w:rsidP="000A0A89">
            <w:pPr>
              <w:spacing w:after="120"/>
              <w:rPr>
                <w:b/>
                <w:szCs w:val="24"/>
                <w:u w:val="single"/>
              </w:rPr>
            </w:pPr>
            <w:r w:rsidRPr="00C51B13">
              <w:rPr>
                <w:b/>
                <w:szCs w:val="24"/>
              </w:rPr>
              <w:t>Proposed Changes:</w:t>
            </w:r>
          </w:p>
          <w:p w:rsidR="00EC375D" w:rsidRPr="00BF208D" w:rsidRDefault="00EC375D" w:rsidP="008F7FC9">
            <w:pPr>
              <w:numPr>
                <w:ilvl w:val="0"/>
                <w:numId w:val="11"/>
              </w:numPr>
              <w:spacing w:before="0" w:after="0"/>
              <w:rPr>
                <w:b/>
                <w:szCs w:val="24"/>
                <w:u w:val="single"/>
              </w:rPr>
            </w:pPr>
            <w:r w:rsidRPr="00BF208D">
              <w:rPr>
                <w:szCs w:val="24"/>
              </w:rPr>
              <w:t>Arts</w:t>
            </w:r>
            <w:r w:rsidR="00283A64">
              <w:rPr>
                <w:szCs w:val="24"/>
              </w:rPr>
              <w:t>/Music</w:t>
            </w:r>
            <w:r w:rsidRPr="00BF208D">
              <w:rPr>
                <w:szCs w:val="24"/>
              </w:rPr>
              <w:t xml:space="preserve">:  Reduced from </w:t>
            </w:r>
            <w:r w:rsidR="00283A64">
              <w:rPr>
                <w:szCs w:val="24"/>
              </w:rPr>
              <w:t>16.5 to 9</w:t>
            </w:r>
          </w:p>
          <w:p w:rsidR="00EC375D" w:rsidRPr="00BF208D" w:rsidRDefault="00EC375D" w:rsidP="008F7FC9">
            <w:pPr>
              <w:numPr>
                <w:ilvl w:val="0"/>
                <w:numId w:val="11"/>
              </w:numPr>
              <w:spacing w:before="0" w:after="0"/>
              <w:rPr>
                <w:b/>
                <w:szCs w:val="24"/>
                <w:u w:val="single"/>
              </w:rPr>
            </w:pPr>
            <w:r w:rsidRPr="00BF208D">
              <w:rPr>
                <w:szCs w:val="24"/>
              </w:rPr>
              <w:t xml:space="preserve">Health &amp; Phys Ed:  Reduced from 12  to </w:t>
            </w:r>
            <w:r w:rsidR="00283A64">
              <w:rPr>
                <w:szCs w:val="24"/>
              </w:rPr>
              <w:t>7</w:t>
            </w:r>
          </w:p>
          <w:p w:rsidR="00EC375D" w:rsidRPr="00BF208D" w:rsidRDefault="00EC375D" w:rsidP="008F7FC9">
            <w:pPr>
              <w:numPr>
                <w:ilvl w:val="0"/>
                <w:numId w:val="11"/>
              </w:numPr>
              <w:spacing w:before="0" w:after="0"/>
              <w:rPr>
                <w:szCs w:val="24"/>
              </w:rPr>
            </w:pPr>
            <w:r w:rsidRPr="00BF208D">
              <w:rPr>
                <w:szCs w:val="24"/>
              </w:rPr>
              <w:t>Robotics/Science/STEM:  Reduced from 1</w:t>
            </w:r>
            <w:r w:rsidR="00283A64">
              <w:rPr>
                <w:szCs w:val="24"/>
              </w:rPr>
              <w:t>5</w:t>
            </w:r>
            <w:r w:rsidR="00BF208D">
              <w:rPr>
                <w:szCs w:val="24"/>
              </w:rPr>
              <w:t>.0</w:t>
            </w:r>
            <w:r w:rsidRPr="00BF208D">
              <w:rPr>
                <w:szCs w:val="24"/>
              </w:rPr>
              <w:t xml:space="preserve"> to </w:t>
            </w:r>
            <w:r w:rsidR="00283A64">
              <w:rPr>
                <w:szCs w:val="24"/>
              </w:rPr>
              <w:t>6</w:t>
            </w:r>
          </w:p>
          <w:p w:rsidR="00EC375D" w:rsidRPr="00C6151C" w:rsidRDefault="00947545" w:rsidP="00E534CB">
            <w:pPr>
              <w:rPr>
                <w:szCs w:val="24"/>
              </w:rPr>
            </w:pPr>
            <w:r>
              <w:rPr>
                <w:szCs w:val="24"/>
              </w:rPr>
              <w:t>Further r</w:t>
            </w:r>
            <w:r w:rsidR="00EC375D" w:rsidRPr="00C6151C">
              <w:rPr>
                <w:szCs w:val="24"/>
              </w:rPr>
              <w:t>eductions in the following curriculum areas:</w:t>
            </w:r>
          </w:p>
          <w:p w:rsidR="00EC375D" w:rsidRPr="00C6151C" w:rsidRDefault="00EC375D" w:rsidP="00CD7359">
            <w:pPr>
              <w:pStyle w:val="ListParagraph"/>
              <w:numPr>
                <w:ilvl w:val="0"/>
                <w:numId w:val="19"/>
              </w:numPr>
            </w:pPr>
            <w:r w:rsidRPr="00C6151C">
              <w:t xml:space="preserve">Mathematics/English Literacy/Social Studies:  Reduced from 6 to </w:t>
            </w:r>
            <w:r w:rsidR="000136D9">
              <w:t>3</w:t>
            </w:r>
          </w:p>
          <w:p w:rsidR="00EC375D" w:rsidRPr="00C6151C" w:rsidRDefault="00EC375D" w:rsidP="00CD7359">
            <w:pPr>
              <w:pStyle w:val="ListParagraph"/>
              <w:numPr>
                <w:ilvl w:val="0"/>
                <w:numId w:val="19"/>
              </w:numPr>
            </w:pPr>
            <w:r w:rsidRPr="00C6151C">
              <w:t>Engl</w:t>
            </w:r>
            <w:r w:rsidR="00F32248">
              <w:t xml:space="preserve">ish as a Second Language: </w:t>
            </w:r>
            <w:r w:rsidRPr="00C6151C">
              <w:t>Reduced from 49 to 4</w:t>
            </w:r>
            <w:r w:rsidR="000136D9">
              <w:t>7.5</w:t>
            </w:r>
          </w:p>
          <w:p w:rsidR="00EC375D" w:rsidRPr="00C6151C" w:rsidRDefault="00EC375D" w:rsidP="00CD7359">
            <w:pPr>
              <w:pStyle w:val="ListParagraph"/>
              <w:numPr>
                <w:ilvl w:val="0"/>
                <w:numId w:val="19"/>
              </w:numPr>
            </w:pPr>
            <w:r w:rsidRPr="00C6151C">
              <w:t xml:space="preserve">French as a Second Language &amp; Classical Languages:  Reduced from </w:t>
            </w:r>
            <w:r w:rsidR="005C5482">
              <w:t>4</w:t>
            </w:r>
            <w:r w:rsidR="00ED5FD2">
              <w:t xml:space="preserve">.0 to </w:t>
            </w:r>
            <w:r w:rsidR="005C5482">
              <w:t>3</w:t>
            </w:r>
            <w:r w:rsidRPr="00C6151C">
              <w:t>.0</w:t>
            </w:r>
          </w:p>
          <w:p w:rsidR="00EC375D" w:rsidRDefault="00EC375D" w:rsidP="00CD7359">
            <w:pPr>
              <w:pStyle w:val="ListParagraph"/>
              <w:numPr>
                <w:ilvl w:val="0"/>
                <w:numId w:val="19"/>
              </w:numPr>
            </w:pPr>
            <w:r w:rsidRPr="00C6151C">
              <w:t>Student Success, Experiential Learning, and Guidance:  Reduced from 3</w:t>
            </w:r>
            <w:r w:rsidR="000136D9">
              <w:t>9</w:t>
            </w:r>
            <w:r w:rsidRPr="00C6151C">
              <w:t xml:space="preserve"> to </w:t>
            </w:r>
            <w:r w:rsidR="000136D9">
              <w:t>30</w:t>
            </w:r>
          </w:p>
          <w:p w:rsidR="006C2CC5" w:rsidRDefault="007B67AD" w:rsidP="00CD7359">
            <w:pPr>
              <w:pStyle w:val="ListParagraph"/>
              <w:numPr>
                <w:ilvl w:val="0"/>
                <w:numId w:val="19"/>
              </w:numPr>
            </w:pPr>
            <w:r>
              <w:t>*</w:t>
            </w:r>
            <w:r w:rsidR="001D0EA1">
              <w:t>Research Department 4.0 FTE</w:t>
            </w:r>
          </w:p>
          <w:p w:rsidR="001D0EA1" w:rsidRDefault="001D0EA1" w:rsidP="00CD7359">
            <w:pPr>
              <w:pStyle w:val="ListParagraph"/>
              <w:numPr>
                <w:ilvl w:val="0"/>
                <w:numId w:val="19"/>
              </w:numPr>
            </w:pPr>
            <w:r>
              <w:t>*Central Staff 2.0 FTE</w:t>
            </w:r>
          </w:p>
          <w:p w:rsidR="001D0EA1" w:rsidRDefault="001D0EA1" w:rsidP="00CD7359">
            <w:pPr>
              <w:pStyle w:val="ListParagraph"/>
              <w:numPr>
                <w:ilvl w:val="0"/>
                <w:numId w:val="19"/>
              </w:numPr>
            </w:pPr>
            <w:r>
              <w:t>*</w:t>
            </w:r>
            <w:r w:rsidR="001E689E">
              <w:t xml:space="preserve">Centrally Assigned </w:t>
            </w:r>
            <w:r>
              <w:t>Teachers 5.0 FTE</w:t>
            </w:r>
          </w:p>
          <w:p w:rsidR="00813081" w:rsidRPr="00813081" w:rsidRDefault="00813081" w:rsidP="00813081">
            <w:r w:rsidRPr="00B8779C">
              <w:rPr>
                <w:sz w:val="22"/>
                <w:szCs w:val="24"/>
              </w:rPr>
              <w:t>*This reduction was proposed to assist with balancing the 2019-20 budget.  However, this reduction is not sustainable in the long-term and equivalent resources will be reinstated in 2020-21.</w:t>
            </w:r>
          </w:p>
          <w:p w:rsidR="00EC375D" w:rsidRPr="00C6151C" w:rsidRDefault="00EC375D" w:rsidP="00C51B13">
            <w:pPr>
              <w:spacing w:before="240"/>
              <w:rPr>
                <w:b/>
                <w:szCs w:val="24"/>
              </w:rPr>
            </w:pPr>
            <w:r w:rsidRPr="00C6151C">
              <w:rPr>
                <w:b/>
                <w:szCs w:val="24"/>
              </w:rPr>
              <w:t>Learning Library Resource Services</w:t>
            </w:r>
          </w:p>
          <w:p w:rsidR="00EC375D" w:rsidRPr="00C6151C" w:rsidRDefault="00EC375D" w:rsidP="00E534CB">
            <w:pPr>
              <w:rPr>
                <w:szCs w:val="24"/>
              </w:rPr>
            </w:pPr>
            <w:r w:rsidRPr="00C6151C">
              <w:rPr>
                <w:szCs w:val="24"/>
              </w:rPr>
              <w:t xml:space="preserve">There are three units in Learning Library Resource Services: Library Technical Services, Professional Library, and Library Teaching Resources. </w:t>
            </w:r>
          </w:p>
          <w:p w:rsidR="00EC375D" w:rsidRPr="00C6151C" w:rsidRDefault="00EC375D" w:rsidP="00E534CB">
            <w:pPr>
              <w:rPr>
                <w:szCs w:val="24"/>
              </w:rPr>
            </w:pPr>
            <w:r w:rsidRPr="00C6151C">
              <w:rPr>
                <w:szCs w:val="24"/>
              </w:rPr>
              <w:t xml:space="preserve">Library Technical Services catalogue new books for school libraries, respond to Library Help Desk inquiries, support school library revitalization projects, and circulate Forest of Reading programs. </w:t>
            </w:r>
          </w:p>
          <w:p w:rsidR="00EC375D" w:rsidRPr="00C6151C" w:rsidRDefault="00EC375D" w:rsidP="00E534CB">
            <w:pPr>
              <w:rPr>
                <w:szCs w:val="24"/>
              </w:rPr>
            </w:pPr>
            <w:r w:rsidRPr="00C6151C">
              <w:rPr>
                <w:szCs w:val="24"/>
              </w:rPr>
              <w:t xml:space="preserve">Professional Library Services respond to school-based inquiries from teachers, and supports professional learning, and implementation of global competencies. </w:t>
            </w:r>
          </w:p>
          <w:p w:rsidR="00EC375D" w:rsidRPr="00C6151C" w:rsidRDefault="00EC375D" w:rsidP="00E534CB">
            <w:pPr>
              <w:rPr>
                <w:szCs w:val="24"/>
              </w:rPr>
            </w:pPr>
            <w:r w:rsidRPr="00C6151C">
              <w:rPr>
                <w:szCs w:val="24"/>
              </w:rPr>
              <w:t>Library Teaching Resources supports teachers with online media resources and online booking of central collection of curriculum support resources.</w:t>
            </w:r>
          </w:p>
          <w:p w:rsidR="00EC375D" w:rsidRPr="00C6151C" w:rsidRDefault="00EC375D" w:rsidP="00E534CB">
            <w:pPr>
              <w:rPr>
                <w:szCs w:val="24"/>
              </w:rPr>
            </w:pPr>
            <w:r w:rsidRPr="00C6151C">
              <w:rPr>
                <w:szCs w:val="24"/>
              </w:rPr>
              <w:t xml:space="preserve">As per the Strategic Budget Driver of modernization and accessibility, staff is committed to ensuring operational efficiencies in the areas of curating, accessing, and distributing learning resources. The TDSB will continue to support school library revitalizations and will attempt to address issues that modernize how individuals access research and resources.  </w:t>
            </w:r>
          </w:p>
          <w:p w:rsidR="00EC375D" w:rsidRPr="00C6151C" w:rsidRDefault="00EC375D" w:rsidP="00E534CB">
            <w:pPr>
              <w:rPr>
                <w:b/>
                <w:szCs w:val="24"/>
                <w:u w:val="single"/>
              </w:rPr>
            </w:pPr>
            <w:r w:rsidRPr="00C6151C">
              <w:rPr>
                <w:b/>
                <w:szCs w:val="24"/>
              </w:rPr>
              <w:t>Proposed Changes:</w:t>
            </w:r>
          </w:p>
          <w:p w:rsidR="00EC375D" w:rsidRPr="00C6151C" w:rsidRDefault="00EC375D" w:rsidP="00CD7359">
            <w:pPr>
              <w:pStyle w:val="ListParagraph"/>
              <w:numPr>
                <w:ilvl w:val="0"/>
                <w:numId w:val="16"/>
              </w:numPr>
            </w:pPr>
            <w:r w:rsidRPr="00C6151C">
              <w:t>Recommending a reduction in allocation by 1/3 based on current vacancies</w:t>
            </w:r>
          </w:p>
          <w:p w:rsidR="00EC375D" w:rsidRPr="00C6151C" w:rsidRDefault="00EC375D" w:rsidP="00CD7359">
            <w:pPr>
              <w:pStyle w:val="ListParagraph"/>
              <w:numPr>
                <w:ilvl w:val="0"/>
                <w:numId w:val="16"/>
              </w:numPr>
            </w:pPr>
            <w:r w:rsidRPr="00C6151C">
              <w:t>Reductions will continue through attrition</w:t>
            </w:r>
          </w:p>
          <w:p w:rsidR="00EC375D" w:rsidRPr="00C6151C" w:rsidRDefault="00EC375D" w:rsidP="00CD7359">
            <w:pPr>
              <w:pStyle w:val="ListParagraph"/>
              <w:numPr>
                <w:ilvl w:val="0"/>
                <w:numId w:val="16"/>
              </w:numPr>
            </w:pPr>
            <w:r w:rsidRPr="00C6151C">
              <w:t>Reduction from 62 to 4</w:t>
            </w:r>
            <w:r w:rsidR="000136D9">
              <w:t>7</w:t>
            </w:r>
          </w:p>
          <w:p w:rsidR="00EC375D" w:rsidRPr="00C6151C" w:rsidRDefault="00EC375D" w:rsidP="00C51B13">
            <w:pPr>
              <w:spacing w:before="240"/>
              <w:rPr>
                <w:b/>
                <w:szCs w:val="24"/>
              </w:rPr>
            </w:pPr>
            <w:r w:rsidRPr="00C6151C">
              <w:rPr>
                <w:b/>
                <w:szCs w:val="24"/>
              </w:rPr>
              <w:t>Professional Learning (Academic), Professional Learning, Training, and Leadership, Digital Media, and eLearning</w:t>
            </w:r>
          </w:p>
          <w:p w:rsidR="00EC375D" w:rsidRPr="00C6151C" w:rsidRDefault="00EC375D" w:rsidP="00E534CB">
            <w:pPr>
              <w:rPr>
                <w:szCs w:val="24"/>
              </w:rPr>
            </w:pPr>
            <w:r w:rsidRPr="00C6151C">
              <w:rPr>
                <w:szCs w:val="24"/>
              </w:rPr>
              <w:t xml:space="preserve">There are currently a number of teams that provide similar services across the TDSB (Professional Leadership Learning Unit, Professional Leading and Learning Team, Digital Learning Team and Communications). </w:t>
            </w:r>
          </w:p>
          <w:p w:rsidR="00EC375D" w:rsidRPr="00C6151C" w:rsidRDefault="00EC375D" w:rsidP="00E534CB">
            <w:pPr>
              <w:rPr>
                <w:szCs w:val="24"/>
              </w:rPr>
            </w:pPr>
            <w:r w:rsidRPr="00C6151C">
              <w:rPr>
                <w:szCs w:val="24"/>
              </w:rPr>
              <w:t>A cross-discipline Learning, Design and Development team is recommended. As a result, there will be a reduction to the number of media design specialists across the three teams. There will also be a reduction in Professional Learning Leads as professional learning across departments is consolidated.</w:t>
            </w:r>
          </w:p>
          <w:p w:rsidR="00EC375D" w:rsidRPr="00C6151C" w:rsidRDefault="00EC375D" w:rsidP="00E534CB">
            <w:pPr>
              <w:rPr>
                <w:szCs w:val="24"/>
              </w:rPr>
            </w:pPr>
            <w:r w:rsidRPr="00C6151C">
              <w:rPr>
                <w:b/>
                <w:szCs w:val="24"/>
              </w:rPr>
              <w:t>Proposed</w:t>
            </w:r>
            <w:r w:rsidRPr="00C6151C">
              <w:rPr>
                <w:szCs w:val="24"/>
              </w:rPr>
              <w:t xml:space="preserve"> </w:t>
            </w:r>
            <w:r w:rsidRPr="00C6151C">
              <w:rPr>
                <w:b/>
                <w:szCs w:val="24"/>
              </w:rPr>
              <w:t>Changes</w:t>
            </w:r>
            <w:r w:rsidRPr="00C6151C">
              <w:rPr>
                <w:szCs w:val="24"/>
              </w:rPr>
              <w:t>:</w:t>
            </w:r>
          </w:p>
          <w:p w:rsidR="00EC375D" w:rsidRPr="00C6151C" w:rsidRDefault="000321F3" w:rsidP="00CD7359">
            <w:pPr>
              <w:pStyle w:val="ListParagraph"/>
              <w:numPr>
                <w:ilvl w:val="0"/>
                <w:numId w:val="15"/>
              </w:numPr>
            </w:pPr>
            <w:r>
              <w:t xml:space="preserve">Media Design Specialists: </w:t>
            </w:r>
            <w:r w:rsidR="00EC375D" w:rsidRPr="00C6151C">
              <w:t>Reduced from 8 to 4</w:t>
            </w:r>
          </w:p>
          <w:p w:rsidR="00EC375D" w:rsidRPr="00C6151C" w:rsidRDefault="00EC375D" w:rsidP="00CD7359">
            <w:pPr>
              <w:pStyle w:val="ListParagraph"/>
              <w:numPr>
                <w:ilvl w:val="0"/>
                <w:numId w:val="15"/>
              </w:numPr>
            </w:pPr>
            <w:r w:rsidRPr="00C6151C">
              <w:t>Professional Learning Leads: Reduced from 4 to 2</w:t>
            </w:r>
          </w:p>
          <w:p w:rsidR="00EC375D" w:rsidRPr="00C51B13" w:rsidRDefault="00EC375D" w:rsidP="003005BC">
            <w:pPr>
              <w:spacing w:before="240"/>
              <w:rPr>
                <w:b/>
                <w:szCs w:val="24"/>
              </w:rPr>
            </w:pPr>
            <w:r w:rsidRPr="00C51B13">
              <w:rPr>
                <w:b/>
                <w:szCs w:val="24"/>
              </w:rPr>
              <w:t>Research and Information Services</w:t>
            </w:r>
          </w:p>
          <w:p w:rsidR="00EC375D" w:rsidRDefault="00EC375D" w:rsidP="000321F3">
            <w:pPr>
              <w:spacing w:after="0"/>
              <w:rPr>
                <w:szCs w:val="24"/>
              </w:rPr>
            </w:pPr>
            <w:r w:rsidRPr="00C6151C">
              <w:rPr>
                <w:szCs w:val="24"/>
              </w:rPr>
              <w:t>This central team is responsible for system monitoring and decision-making in the following areas:</w:t>
            </w:r>
          </w:p>
          <w:p w:rsidR="00EC375D" w:rsidRPr="00C6151C" w:rsidRDefault="00EC375D" w:rsidP="00CD7359">
            <w:pPr>
              <w:pStyle w:val="ListParagraph"/>
              <w:numPr>
                <w:ilvl w:val="0"/>
                <w:numId w:val="20"/>
              </w:numPr>
            </w:pPr>
            <w:r w:rsidRPr="00C6151C">
              <w:t>Reporting on student achievement data and conducting advanced analytics to support board and school improvement planning (e.g., EQAO data, report card data, credit accumulation data, course pass rate data).</w:t>
            </w:r>
          </w:p>
          <w:p w:rsidR="00EC375D" w:rsidRPr="00C6151C" w:rsidRDefault="00EC375D" w:rsidP="00CD7359">
            <w:pPr>
              <w:pStyle w:val="ListParagraph"/>
              <w:numPr>
                <w:ilvl w:val="0"/>
                <w:numId w:val="20"/>
              </w:numPr>
            </w:pPr>
            <w:r w:rsidRPr="00C6151C">
              <w:t>Conducting and reporting on system surveys (e.g., Student Census, Parent Census, School Climate, Staff Census, Adult Student Census).</w:t>
            </w:r>
          </w:p>
          <w:p w:rsidR="00EC375D" w:rsidRPr="00C6151C" w:rsidRDefault="00EC375D" w:rsidP="00CD7359">
            <w:pPr>
              <w:pStyle w:val="ListParagraph"/>
              <w:numPr>
                <w:ilvl w:val="0"/>
                <w:numId w:val="20"/>
              </w:numPr>
            </w:pPr>
            <w:r w:rsidRPr="00C6151C">
              <w:t>Developing and maintaining the LOI.</w:t>
            </w:r>
          </w:p>
          <w:p w:rsidR="00EC375D" w:rsidRPr="00C6151C" w:rsidRDefault="00EC375D" w:rsidP="00623A06">
            <w:pPr>
              <w:spacing w:before="240"/>
              <w:rPr>
                <w:b/>
                <w:szCs w:val="24"/>
              </w:rPr>
            </w:pPr>
            <w:r w:rsidRPr="00C6151C">
              <w:rPr>
                <w:b/>
                <w:szCs w:val="24"/>
              </w:rPr>
              <w:t>Proposed Changes:</w:t>
            </w:r>
          </w:p>
          <w:p w:rsidR="00EC375D" w:rsidRPr="00C6151C" w:rsidRDefault="00EC375D" w:rsidP="00E9365B">
            <w:pPr>
              <w:rPr>
                <w:szCs w:val="24"/>
              </w:rPr>
            </w:pPr>
            <w:r w:rsidRPr="00C6151C">
              <w:rPr>
                <w:szCs w:val="24"/>
              </w:rPr>
              <w:t>Reduction from 20 to 1</w:t>
            </w:r>
            <w:r w:rsidR="001B6537">
              <w:rPr>
                <w:szCs w:val="24"/>
              </w:rPr>
              <w:t>8</w:t>
            </w:r>
          </w:p>
        </w:tc>
        <w:tc>
          <w:tcPr>
            <w:tcW w:w="1890" w:type="dxa"/>
            <w:shd w:val="clear" w:color="auto" w:fill="F2F2F2" w:themeFill="background1" w:themeFillShade="F2"/>
          </w:tcPr>
          <w:p w:rsidR="00EC375D" w:rsidRPr="00C6151C" w:rsidRDefault="00EC375D" w:rsidP="00E534CB">
            <w:pPr>
              <w:rPr>
                <w:rFonts w:cstheme="minorHAnsi"/>
                <w:szCs w:val="24"/>
              </w:rPr>
            </w:pPr>
            <w:r w:rsidRPr="00C6151C">
              <w:rPr>
                <w:rFonts w:cstheme="minorHAnsi"/>
                <w:szCs w:val="24"/>
              </w:rPr>
              <w:t>Differentiated Approaches to Serve Our Students</w:t>
            </w:r>
          </w:p>
          <w:p w:rsidR="00EC375D" w:rsidRPr="00C6151C" w:rsidRDefault="00EC375D" w:rsidP="00E534CB">
            <w:pPr>
              <w:rPr>
                <w:rFonts w:cstheme="minorHAnsi"/>
                <w:szCs w:val="24"/>
              </w:rPr>
            </w:pPr>
            <w:r w:rsidRPr="00C6151C">
              <w:rPr>
                <w:rFonts w:cstheme="minorHAnsi"/>
                <w:szCs w:val="24"/>
              </w:rPr>
              <w:t>Professional Learning</w:t>
            </w:r>
          </w:p>
          <w:p w:rsidR="00EC375D" w:rsidRPr="00C6151C" w:rsidRDefault="00EC375D" w:rsidP="00E534CB">
            <w:pPr>
              <w:rPr>
                <w:szCs w:val="24"/>
              </w:rPr>
            </w:pPr>
            <w:r w:rsidRPr="00C6151C">
              <w:rPr>
                <w:rFonts w:cstheme="minorHAnsi"/>
                <w:szCs w:val="24"/>
              </w:rPr>
              <w:t>Student Success</w:t>
            </w:r>
          </w:p>
        </w:tc>
        <w:tc>
          <w:tcPr>
            <w:tcW w:w="1710" w:type="dxa"/>
            <w:shd w:val="clear" w:color="auto" w:fill="F2F2F2" w:themeFill="background1" w:themeFillShade="F2"/>
          </w:tcPr>
          <w:p w:rsidR="00EC375D" w:rsidRPr="007028AF" w:rsidRDefault="00EC375D" w:rsidP="00897459">
            <w:pPr>
              <w:rPr>
                <w:b/>
                <w:szCs w:val="24"/>
              </w:rPr>
            </w:pPr>
            <w:r w:rsidRPr="007028AF">
              <w:rPr>
                <w:b/>
                <w:szCs w:val="24"/>
              </w:rPr>
              <w:t>$</w:t>
            </w:r>
            <w:r w:rsidR="00897459">
              <w:rPr>
                <w:b/>
                <w:szCs w:val="24"/>
              </w:rPr>
              <w:t>6</w:t>
            </w:r>
            <w:r w:rsidRPr="007028AF">
              <w:rPr>
                <w:b/>
                <w:szCs w:val="24"/>
              </w:rPr>
              <w:t>.</w:t>
            </w:r>
            <w:r w:rsidR="00897459">
              <w:rPr>
                <w:b/>
                <w:szCs w:val="24"/>
              </w:rPr>
              <w:t>1</w:t>
            </w:r>
            <w:r w:rsidRPr="007028AF">
              <w:rPr>
                <w:b/>
                <w:szCs w:val="24"/>
              </w:rPr>
              <w:t>8 million</w:t>
            </w:r>
          </w:p>
        </w:tc>
        <w:tc>
          <w:tcPr>
            <w:tcW w:w="1710" w:type="dxa"/>
            <w:shd w:val="clear" w:color="auto" w:fill="F2F2F2" w:themeFill="background1" w:themeFillShade="F2"/>
          </w:tcPr>
          <w:p w:rsidR="00EC375D" w:rsidRPr="007028AF" w:rsidRDefault="001D0EA1" w:rsidP="001D0EA1">
            <w:pPr>
              <w:rPr>
                <w:b/>
                <w:szCs w:val="24"/>
              </w:rPr>
            </w:pPr>
            <w:r>
              <w:rPr>
                <w:b/>
                <w:szCs w:val="24"/>
              </w:rPr>
              <w:t>($1.2) million</w:t>
            </w:r>
          </w:p>
        </w:tc>
      </w:tr>
      <w:tr w:rsidR="00EC375D" w:rsidTr="00CF0412">
        <w:tc>
          <w:tcPr>
            <w:tcW w:w="2332" w:type="dxa"/>
          </w:tcPr>
          <w:p w:rsidR="00EC375D" w:rsidRPr="00C6151C" w:rsidRDefault="00EC375D" w:rsidP="00E534CB">
            <w:pPr>
              <w:rPr>
                <w:b/>
                <w:szCs w:val="24"/>
              </w:rPr>
            </w:pPr>
            <w:r w:rsidRPr="00C6151C">
              <w:rPr>
                <w:b/>
                <w:szCs w:val="24"/>
              </w:rPr>
              <w:t>Information Technology Services</w:t>
            </w:r>
          </w:p>
        </w:tc>
        <w:tc>
          <w:tcPr>
            <w:tcW w:w="5768" w:type="dxa"/>
          </w:tcPr>
          <w:p w:rsidR="00EC375D" w:rsidRPr="00C6151C" w:rsidRDefault="00EC375D" w:rsidP="00E534CB">
            <w:pPr>
              <w:rPr>
                <w:szCs w:val="24"/>
              </w:rPr>
            </w:pPr>
            <w:r w:rsidRPr="00C6151C">
              <w:rPr>
                <w:b/>
                <w:szCs w:val="24"/>
              </w:rPr>
              <w:t>Proposed</w:t>
            </w:r>
            <w:r w:rsidRPr="00C6151C">
              <w:rPr>
                <w:szCs w:val="24"/>
              </w:rPr>
              <w:t xml:space="preserve"> </w:t>
            </w:r>
            <w:r w:rsidRPr="00C6151C">
              <w:rPr>
                <w:b/>
                <w:szCs w:val="24"/>
              </w:rPr>
              <w:t>Changes</w:t>
            </w:r>
            <w:r w:rsidRPr="00C6151C">
              <w:rPr>
                <w:szCs w:val="24"/>
              </w:rPr>
              <w:t>:</w:t>
            </w:r>
          </w:p>
          <w:p w:rsidR="00EC375D" w:rsidRPr="00C6151C" w:rsidRDefault="00EC375D" w:rsidP="00E534CB">
            <w:pPr>
              <w:rPr>
                <w:szCs w:val="24"/>
              </w:rPr>
            </w:pPr>
            <w:r w:rsidRPr="00C6151C">
              <w:rPr>
                <w:szCs w:val="24"/>
              </w:rPr>
              <w:t>A number of projects not directly impacting students and the classroom will be stopped. These projects include some licensing, voice over messaging, and upgrades to certain services.</w:t>
            </w:r>
          </w:p>
        </w:tc>
        <w:tc>
          <w:tcPr>
            <w:tcW w:w="1890" w:type="dxa"/>
          </w:tcPr>
          <w:p w:rsidR="00EC375D" w:rsidRPr="00C6151C" w:rsidRDefault="00EC375D" w:rsidP="00E534CB">
            <w:pPr>
              <w:rPr>
                <w:szCs w:val="24"/>
              </w:rPr>
            </w:pPr>
            <w:r>
              <w:rPr>
                <w:szCs w:val="24"/>
              </w:rPr>
              <w:t>Modernizatio</w:t>
            </w:r>
            <w:r w:rsidRPr="00C6151C">
              <w:rPr>
                <w:szCs w:val="24"/>
              </w:rPr>
              <w:t>n and Accessibility</w:t>
            </w:r>
          </w:p>
        </w:tc>
        <w:tc>
          <w:tcPr>
            <w:tcW w:w="1710" w:type="dxa"/>
          </w:tcPr>
          <w:p w:rsidR="00EC375D" w:rsidRPr="007028AF" w:rsidRDefault="00EC375D" w:rsidP="00E534CB">
            <w:pPr>
              <w:rPr>
                <w:b/>
                <w:szCs w:val="24"/>
              </w:rPr>
            </w:pPr>
            <w:r w:rsidRPr="007028AF">
              <w:rPr>
                <w:b/>
                <w:szCs w:val="24"/>
              </w:rPr>
              <w:t>$1</w:t>
            </w:r>
            <w:r w:rsidR="001B214D">
              <w:rPr>
                <w:b/>
                <w:szCs w:val="24"/>
              </w:rPr>
              <w:t>.0</w:t>
            </w:r>
            <w:r w:rsidRPr="007028AF">
              <w:rPr>
                <w:b/>
                <w:szCs w:val="24"/>
              </w:rPr>
              <w:t xml:space="preserve"> million</w:t>
            </w:r>
          </w:p>
        </w:tc>
        <w:tc>
          <w:tcPr>
            <w:tcW w:w="1710" w:type="dxa"/>
          </w:tcPr>
          <w:p w:rsidR="00EC375D" w:rsidRPr="007028AF" w:rsidRDefault="00EC375D" w:rsidP="00E534CB">
            <w:pPr>
              <w:rPr>
                <w:b/>
                <w:szCs w:val="24"/>
              </w:rPr>
            </w:pPr>
          </w:p>
        </w:tc>
      </w:tr>
      <w:tr w:rsidR="00EC375D" w:rsidTr="00CF0412">
        <w:tc>
          <w:tcPr>
            <w:tcW w:w="2332" w:type="dxa"/>
            <w:shd w:val="clear" w:color="auto" w:fill="F2F2F2" w:themeFill="background1" w:themeFillShade="F2"/>
          </w:tcPr>
          <w:p w:rsidR="00EC375D" w:rsidRPr="00C6151C" w:rsidRDefault="00EC375D" w:rsidP="00E534CB">
            <w:pPr>
              <w:rPr>
                <w:b/>
                <w:szCs w:val="24"/>
              </w:rPr>
            </w:pPr>
            <w:r w:rsidRPr="00C6151C">
              <w:rPr>
                <w:b/>
                <w:szCs w:val="24"/>
              </w:rPr>
              <w:t>International Visa Students</w:t>
            </w:r>
          </w:p>
        </w:tc>
        <w:tc>
          <w:tcPr>
            <w:tcW w:w="5768" w:type="dxa"/>
            <w:shd w:val="clear" w:color="auto" w:fill="F2F2F2" w:themeFill="background1" w:themeFillShade="F2"/>
          </w:tcPr>
          <w:p w:rsidR="00EC375D" w:rsidRPr="00C6151C" w:rsidRDefault="00EC375D" w:rsidP="00E534CB">
            <w:pPr>
              <w:rPr>
                <w:szCs w:val="24"/>
              </w:rPr>
            </w:pPr>
            <w:r w:rsidRPr="00C6151C">
              <w:rPr>
                <w:szCs w:val="24"/>
              </w:rPr>
              <w:t xml:space="preserve">International students who attend TDSB schools receive a world-class education, but also enrich the community within the schools they attend. Currently, International Education generates approximately $30 million in revenue for the TDSB. </w:t>
            </w:r>
          </w:p>
          <w:p w:rsidR="00EC375D" w:rsidRPr="00C6151C" w:rsidRDefault="00EC375D" w:rsidP="00E534CB">
            <w:pPr>
              <w:rPr>
                <w:b/>
                <w:szCs w:val="24"/>
              </w:rPr>
            </w:pPr>
            <w:r w:rsidRPr="00C6151C">
              <w:rPr>
                <w:b/>
                <w:szCs w:val="24"/>
              </w:rPr>
              <w:t>Proposed Changes:</w:t>
            </w:r>
          </w:p>
          <w:p w:rsidR="00EC375D" w:rsidRPr="00C6151C" w:rsidRDefault="00EC375D" w:rsidP="00E534CB">
            <w:pPr>
              <w:rPr>
                <w:szCs w:val="24"/>
              </w:rPr>
            </w:pPr>
            <w:r w:rsidRPr="00C6151C">
              <w:rPr>
                <w:szCs w:val="24"/>
              </w:rPr>
              <w:t>1. Increase Tuition Fees</w:t>
            </w:r>
          </w:p>
          <w:p w:rsidR="00EC375D" w:rsidRPr="00C6151C" w:rsidRDefault="00EC375D" w:rsidP="00CD7359">
            <w:pPr>
              <w:pStyle w:val="ListParagraph"/>
              <w:numPr>
                <w:ilvl w:val="0"/>
                <w:numId w:val="3"/>
              </w:numPr>
            </w:pPr>
            <w:r w:rsidRPr="00C6151C">
              <w:t>Current tuition fees are $12,500 (elementary) and $14,500 (secondary).</w:t>
            </w:r>
          </w:p>
          <w:p w:rsidR="00EC375D" w:rsidRPr="00C6151C" w:rsidRDefault="00EC375D" w:rsidP="00CD7359">
            <w:pPr>
              <w:pStyle w:val="ListParagraph"/>
              <w:numPr>
                <w:ilvl w:val="0"/>
                <w:numId w:val="3"/>
              </w:numPr>
            </w:pPr>
            <w:r w:rsidRPr="00C6151C">
              <w:t>Proposed tuition fees for the 2020-21 school year are $1</w:t>
            </w:r>
            <w:r w:rsidR="00C75F96">
              <w:t>6</w:t>
            </w:r>
            <w:r w:rsidRPr="00C6151C">
              <w:t>,000 (elementary) and $16,000 (secondary).</w:t>
            </w:r>
          </w:p>
          <w:p w:rsidR="00EC375D" w:rsidRPr="00C6151C" w:rsidRDefault="00EC375D" w:rsidP="00CD7359">
            <w:pPr>
              <w:pStyle w:val="ListParagraph"/>
              <w:numPr>
                <w:ilvl w:val="0"/>
                <w:numId w:val="3"/>
              </w:numPr>
            </w:pPr>
            <w:r w:rsidRPr="00C6151C">
              <w:t xml:space="preserve">This increase would help the offset the recently-announced $1,300 fee that the Ministry will be collecting for each international student enrolled in a Board. </w:t>
            </w:r>
          </w:p>
          <w:p w:rsidR="00EC375D" w:rsidRPr="00C6151C" w:rsidRDefault="00EC375D" w:rsidP="00E534CB">
            <w:pPr>
              <w:rPr>
                <w:szCs w:val="24"/>
              </w:rPr>
            </w:pPr>
            <w:r w:rsidRPr="00C6151C">
              <w:rPr>
                <w:szCs w:val="24"/>
              </w:rPr>
              <w:t>2. Expand Program</w:t>
            </w:r>
          </w:p>
          <w:p w:rsidR="00EC375D" w:rsidRPr="00C6151C" w:rsidRDefault="00EC375D" w:rsidP="00CD7359">
            <w:pPr>
              <w:pStyle w:val="ListParagraph"/>
              <w:numPr>
                <w:ilvl w:val="0"/>
                <w:numId w:val="4"/>
              </w:numPr>
            </w:pPr>
            <w:r w:rsidRPr="00C6151C">
              <w:t xml:space="preserve">Currently, the TDSB serves approximately 2,300 international students (453 elementary students and 1,902 secondary students). </w:t>
            </w:r>
          </w:p>
          <w:p w:rsidR="00EC375D" w:rsidRPr="00C6151C" w:rsidRDefault="00EC375D" w:rsidP="00CD7359">
            <w:pPr>
              <w:pStyle w:val="ListParagraph"/>
              <w:numPr>
                <w:ilvl w:val="0"/>
                <w:numId w:val="4"/>
              </w:numPr>
            </w:pPr>
            <w:r w:rsidRPr="00C6151C">
              <w:t>Propose increasing this number by approximately 25 elementary students and approximately 75 secondary students in both Year 1 and Year 2. This will result in a total of 200 additional students by the end of Year 2.</w:t>
            </w:r>
          </w:p>
          <w:p w:rsidR="00EC375D" w:rsidRPr="00C6151C" w:rsidRDefault="00EC375D" w:rsidP="00CD7359">
            <w:pPr>
              <w:pStyle w:val="ListParagraph"/>
              <w:numPr>
                <w:ilvl w:val="0"/>
                <w:numId w:val="4"/>
              </w:numPr>
            </w:pPr>
            <w:r w:rsidRPr="00C6151C">
              <w:t>To do so, the TDSB will increase the number of international students accepted to schools that can support an increase, as well as add 14 new secondary schools</w:t>
            </w:r>
            <w:r w:rsidR="008906ED">
              <w:t xml:space="preserve"> to the list of schools that accept international students.</w:t>
            </w:r>
          </w:p>
          <w:p w:rsidR="008401B9" w:rsidRPr="00C6151C" w:rsidRDefault="00EC375D" w:rsidP="00E534CB">
            <w:pPr>
              <w:rPr>
                <w:szCs w:val="24"/>
              </w:rPr>
            </w:pPr>
            <w:r w:rsidRPr="00C6151C">
              <w:rPr>
                <w:szCs w:val="24"/>
              </w:rPr>
              <w:t>Focus on improving retention rates by increasing the number of available courses. Currently, approximately 20% of students do not return to TDSB after one year.</w:t>
            </w:r>
          </w:p>
        </w:tc>
        <w:tc>
          <w:tcPr>
            <w:tcW w:w="1890" w:type="dxa"/>
            <w:shd w:val="clear" w:color="auto" w:fill="F2F2F2" w:themeFill="background1" w:themeFillShade="F2"/>
          </w:tcPr>
          <w:p w:rsidR="00EC375D" w:rsidRPr="00C6151C" w:rsidRDefault="00EC375D" w:rsidP="00E534CB">
            <w:pPr>
              <w:rPr>
                <w:szCs w:val="24"/>
              </w:rPr>
            </w:pPr>
            <w:r w:rsidRPr="00C6151C">
              <w:rPr>
                <w:szCs w:val="24"/>
              </w:rPr>
              <w:t>Transform Student Learning</w:t>
            </w:r>
          </w:p>
          <w:p w:rsidR="00EC375D" w:rsidRPr="00C6151C" w:rsidRDefault="00EC375D" w:rsidP="00E534CB">
            <w:pPr>
              <w:rPr>
                <w:szCs w:val="24"/>
              </w:rPr>
            </w:pPr>
            <w:r w:rsidRPr="00C6151C">
              <w:rPr>
                <w:szCs w:val="24"/>
              </w:rPr>
              <w:t>Create a Culture for Student and Staff Well-Being</w:t>
            </w:r>
          </w:p>
          <w:p w:rsidR="00EC375D" w:rsidRPr="00C6151C" w:rsidRDefault="00EC375D" w:rsidP="00E534CB">
            <w:pPr>
              <w:rPr>
                <w:szCs w:val="24"/>
              </w:rPr>
            </w:pPr>
            <w:r w:rsidRPr="00C6151C">
              <w:rPr>
                <w:szCs w:val="24"/>
              </w:rPr>
              <w:t>Provide Equity of Access to Learning Opportunities for All Students</w:t>
            </w:r>
          </w:p>
          <w:p w:rsidR="00EC375D" w:rsidRPr="00C6151C" w:rsidRDefault="00EC375D" w:rsidP="00E534CB">
            <w:pPr>
              <w:rPr>
                <w:szCs w:val="24"/>
              </w:rPr>
            </w:pPr>
            <w:r w:rsidRPr="00C6151C">
              <w:rPr>
                <w:szCs w:val="24"/>
              </w:rPr>
              <w:t>Allocate Human and Financial Resources Strategically to Support Student Needs</w:t>
            </w:r>
          </w:p>
          <w:p w:rsidR="00EC375D" w:rsidRPr="00C6151C" w:rsidRDefault="00EC375D" w:rsidP="00E534CB">
            <w:pPr>
              <w:rPr>
                <w:szCs w:val="24"/>
              </w:rPr>
            </w:pPr>
            <w:r w:rsidRPr="00C6151C">
              <w:rPr>
                <w:szCs w:val="24"/>
              </w:rPr>
              <w:t>Build Strong Relationships and Partnership within School Communities to Support Student Learning and Well-Being</w:t>
            </w:r>
          </w:p>
        </w:tc>
        <w:tc>
          <w:tcPr>
            <w:tcW w:w="1710" w:type="dxa"/>
            <w:shd w:val="clear" w:color="auto" w:fill="F2F2F2" w:themeFill="background1" w:themeFillShade="F2"/>
          </w:tcPr>
          <w:p w:rsidR="00EC375D" w:rsidRPr="007028AF" w:rsidRDefault="00EC375D" w:rsidP="00E534CB">
            <w:pPr>
              <w:rPr>
                <w:b/>
                <w:szCs w:val="24"/>
              </w:rPr>
            </w:pPr>
          </w:p>
        </w:tc>
        <w:tc>
          <w:tcPr>
            <w:tcW w:w="1710" w:type="dxa"/>
            <w:shd w:val="clear" w:color="auto" w:fill="F2F2F2" w:themeFill="background1" w:themeFillShade="F2"/>
          </w:tcPr>
          <w:p w:rsidR="00EC375D" w:rsidRPr="007028AF" w:rsidRDefault="00C75F96" w:rsidP="00E534CB">
            <w:pPr>
              <w:rPr>
                <w:b/>
                <w:szCs w:val="24"/>
              </w:rPr>
            </w:pPr>
            <w:r w:rsidRPr="007028AF">
              <w:rPr>
                <w:b/>
                <w:szCs w:val="24"/>
              </w:rPr>
              <w:t>$2</w:t>
            </w:r>
            <w:r w:rsidR="001B214D">
              <w:rPr>
                <w:b/>
                <w:szCs w:val="24"/>
              </w:rPr>
              <w:t>.0</w:t>
            </w:r>
            <w:r w:rsidRPr="007028AF">
              <w:rPr>
                <w:b/>
                <w:szCs w:val="24"/>
              </w:rPr>
              <w:t xml:space="preserve"> million</w:t>
            </w:r>
          </w:p>
        </w:tc>
      </w:tr>
      <w:tr w:rsidR="00EC375D" w:rsidTr="001B3CCA">
        <w:trPr>
          <w:trHeight w:val="881"/>
        </w:trPr>
        <w:tc>
          <w:tcPr>
            <w:tcW w:w="2332" w:type="dxa"/>
          </w:tcPr>
          <w:p w:rsidR="00EC375D" w:rsidRPr="00C6151C" w:rsidRDefault="00EC375D" w:rsidP="00E534CB">
            <w:pPr>
              <w:rPr>
                <w:b/>
                <w:szCs w:val="24"/>
              </w:rPr>
            </w:pPr>
            <w:r w:rsidRPr="00C6151C">
              <w:rPr>
                <w:b/>
                <w:szCs w:val="24"/>
              </w:rPr>
              <w:t>Itinerant Music Instructors</w:t>
            </w:r>
          </w:p>
        </w:tc>
        <w:tc>
          <w:tcPr>
            <w:tcW w:w="5768" w:type="dxa"/>
          </w:tcPr>
          <w:p w:rsidR="00EC375D" w:rsidRDefault="00EC375D" w:rsidP="00E534CB">
            <w:pPr>
              <w:rPr>
                <w:szCs w:val="24"/>
              </w:rPr>
            </w:pPr>
            <w:r w:rsidRPr="00C6151C">
              <w:rPr>
                <w:szCs w:val="24"/>
              </w:rPr>
              <w:t xml:space="preserve">Music education and providing students with access to effective music programming is a priority at the TDSB. The proposed changes will result in more direct support to students through the TDSB’s Music program, while also ensuring that resources are equitably distributed throughout TDSB schools, which is not currently the case. </w:t>
            </w:r>
          </w:p>
          <w:p w:rsidR="00EC375D" w:rsidRDefault="00EC375D" w:rsidP="00E534CB">
            <w:pPr>
              <w:rPr>
                <w:b/>
                <w:szCs w:val="24"/>
              </w:rPr>
            </w:pPr>
            <w:r w:rsidRPr="00EA264F">
              <w:rPr>
                <w:b/>
                <w:szCs w:val="24"/>
              </w:rPr>
              <w:t>Current Model:</w:t>
            </w:r>
          </w:p>
          <w:p w:rsidR="00E9365B" w:rsidRPr="00EA264F" w:rsidRDefault="00E9365B" w:rsidP="00623A06">
            <w:pPr>
              <w:spacing w:before="240" w:after="0"/>
              <w:rPr>
                <w:b/>
                <w:szCs w:val="24"/>
              </w:rPr>
            </w:pPr>
            <w:r>
              <w:rPr>
                <w:b/>
                <w:szCs w:val="24"/>
              </w:rPr>
              <w:t>Enrichment:</w:t>
            </w:r>
          </w:p>
          <w:p w:rsidR="00EC375D" w:rsidRDefault="00EC375D" w:rsidP="00CD7359">
            <w:pPr>
              <w:pStyle w:val="ListParagraph"/>
              <w:numPr>
                <w:ilvl w:val="0"/>
                <w:numId w:val="5"/>
              </w:numPr>
            </w:pPr>
            <w:r w:rsidRPr="00C6151C">
              <w:t>82 Itinerant Music Instructors provide music instruction for small groups of students, as well as whole classes with Strings, Steel Pan and Band (1 to 30 hours/school each week) in 322 elementary or middle schools (Grades 5 to 8)</w:t>
            </w:r>
            <w:r w:rsidR="00563831">
              <w:t>.</w:t>
            </w:r>
          </w:p>
          <w:p w:rsidR="00E9365B" w:rsidRPr="00E9365B" w:rsidRDefault="00E9365B" w:rsidP="00E9365B">
            <w:pPr>
              <w:spacing w:after="0"/>
              <w:rPr>
                <w:b/>
              </w:rPr>
            </w:pPr>
            <w:r w:rsidRPr="00E9365B">
              <w:rPr>
                <w:b/>
              </w:rPr>
              <w:t>Staff Development:</w:t>
            </w:r>
          </w:p>
          <w:p w:rsidR="00EC375D" w:rsidRPr="00C6151C" w:rsidRDefault="00EC375D" w:rsidP="00CD7359">
            <w:pPr>
              <w:pStyle w:val="ListParagraph"/>
              <w:numPr>
                <w:ilvl w:val="0"/>
                <w:numId w:val="5"/>
              </w:numPr>
            </w:pPr>
            <w:r w:rsidRPr="00C6151C">
              <w:t>22 Itinerant Music Instructors deliver staff development in K</w:t>
            </w:r>
            <w:r w:rsidR="00E9365B">
              <w:t>-</w:t>
            </w:r>
            <w:r w:rsidRPr="00C6151C">
              <w:t>Grade 6 in 154 elementary schools</w:t>
            </w:r>
          </w:p>
          <w:p w:rsidR="00EC375D" w:rsidRPr="00C6151C" w:rsidRDefault="00EC375D" w:rsidP="00CD7359">
            <w:pPr>
              <w:pStyle w:val="ListParagraph"/>
              <w:numPr>
                <w:ilvl w:val="0"/>
                <w:numId w:val="5"/>
              </w:numPr>
            </w:pPr>
            <w:r w:rsidRPr="00C6151C">
              <w:t>The majority of schools served are low on the TDSB Learning Opportunity Index.</w:t>
            </w:r>
          </w:p>
          <w:p w:rsidR="00EC375D" w:rsidRPr="00C6151C" w:rsidRDefault="00EC375D" w:rsidP="00CD7359">
            <w:pPr>
              <w:pStyle w:val="ListParagraph"/>
              <w:numPr>
                <w:ilvl w:val="0"/>
                <w:numId w:val="5"/>
              </w:numPr>
            </w:pPr>
            <w:r w:rsidRPr="00C6151C">
              <w:t>There is not an equivalent program in other GTA boards. Other boards have music instruction from OCT teachers.</w:t>
            </w:r>
          </w:p>
          <w:p w:rsidR="00EC375D" w:rsidRPr="00C6151C" w:rsidRDefault="00EC375D" w:rsidP="00E9365B">
            <w:pPr>
              <w:spacing w:before="240"/>
              <w:rPr>
                <w:rFonts w:cs="Calibri"/>
                <w:b/>
                <w:szCs w:val="24"/>
              </w:rPr>
            </w:pPr>
            <w:r w:rsidRPr="00C6151C">
              <w:rPr>
                <w:rFonts w:cs="Calibri"/>
                <w:b/>
                <w:szCs w:val="24"/>
              </w:rPr>
              <w:t>Proposed Changes:</w:t>
            </w:r>
          </w:p>
          <w:p w:rsidR="00EC375D" w:rsidRPr="00C6151C" w:rsidRDefault="00EC375D" w:rsidP="00CD7359">
            <w:pPr>
              <w:pStyle w:val="ListParagraph"/>
            </w:pPr>
            <w:r w:rsidRPr="008906ED">
              <w:t>Reduc</w:t>
            </w:r>
            <w:r w:rsidR="00E9365B" w:rsidRPr="008906ED">
              <w:t xml:space="preserve">tion in budget of </w:t>
            </w:r>
            <w:r w:rsidRPr="008906ED">
              <w:t>24%</w:t>
            </w:r>
            <w:r w:rsidR="00A32F11">
              <w:t xml:space="preserve"> (</w:t>
            </w:r>
            <w:r w:rsidR="00E9365B">
              <w:t>Hours allocated, travel time and travel expenses</w:t>
            </w:r>
            <w:r w:rsidR="00A32F11">
              <w:t>)</w:t>
            </w:r>
          </w:p>
          <w:p w:rsidR="00EC375D" w:rsidRPr="00C6151C" w:rsidRDefault="00EC375D" w:rsidP="00E9365B">
            <w:pPr>
              <w:spacing w:before="240"/>
              <w:rPr>
                <w:b/>
                <w:szCs w:val="24"/>
              </w:rPr>
            </w:pPr>
            <w:r w:rsidRPr="00C6151C">
              <w:rPr>
                <w:b/>
                <w:szCs w:val="24"/>
              </w:rPr>
              <w:t>Reduction in Allocation</w:t>
            </w:r>
          </w:p>
          <w:p w:rsidR="00EC375D" w:rsidRPr="00C6151C" w:rsidRDefault="00EC375D" w:rsidP="00CD7359">
            <w:pPr>
              <w:pStyle w:val="ListParagraph"/>
              <w:numPr>
                <w:ilvl w:val="0"/>
                <w:numId w:val="6"/>
              </w:numPr>
              <w:rPr>
                <w:rFonts w:cs="Calibri"/>
              </w:rPr>
            </w:pPr>
            <w:r w:rsidRPr="00C6151C">
              <w:t xml:space="preserve">Based on the Strategic Budget Driver to differentiate support to serve our students, less support to classroom teachers for professional development and more support directly to students through the TDSB’s Itinerant Music program is recommended.  </w:t>
            </w:r>
          </w:p>
          <w:p w:rsidR="00EC375D" w:rsidRPr="00C6151C" w:rsidRDefault="00EC375D" w:rsidP="00CD7359">
            <w:pPr>
              <w:pStyle w:val="ListParagraph"/>
              <w:numPr>
                <w:ilvl w:val="0"/>
                <w:numId w:val="6"/>
              </w:numPr>
              <w:rPr>
                <w:rFonts w:cs="Calibri"/>
              </w:rPr>
            </w:pPr>
            <w:r w:rsidRPr="00C6151C">
              <w:t xml:space="preserve">Staff will review where additional music teachers may be needed in the future to provide the appropriate access to students going forward.  </w:t>
            </w:r>
          </w:p>
          <w:p w:rsidR="00EC375D" w:rsidRPr="00C6151C" w:rsidRDefault="00EC375D" w:rsidP="00CD7359">
            <w:pPr>
              <w:spacing w:before="240"/>
              <w:rPr>
                <w:b/>
                <w:szCs w:val="24"/>
              </w:rPr>
            </w:pPr>
            <w:r w:rsidRPr="00C6151C">
              <w:rPr>
                <w:b/>
                <w:szCs w:val="24"/>
              </w:rPr>
              <w:t>Simplified Timetabling</w:t>
            </w:r>
          </w:p>
          <w:p w:rsidR="00EC375D" w:rsidRPr="00C6151C" w:rsidRDefault="00EC375D" w:rsidP="00CD7359">
            <w:pPr>
              <w:pStyle w:val="ListParagraph"/>
              <w:numPr>
                <w:ilvl w:val="0"/>
                <w:numId w:val="7"/>
              </w:numPr>
              <w:rPr>
                <w:rFonts w:cs="Calibri"/>
              </w:rPr>
            </w:pPr>
            <w:r w:rsidRPr="00C6151C">
              <w:t xml:space="preserve">To simplify staffing and timetabling, all instruction would take place during the instructional day, and would be required to be inclusive of all students, and partnered with a classroom teacher.  </w:t>
            </w:r>
          </w:p>
          <w:p w:rsidR="00EC375D" w:rsidRPr="00C6151C" w:rsidRDefault="00EC375D" w:rsidP="00CD7359">
            <w:pPr>
              <w:pStyle w:val="ListParagraph"/>
              <w:numPr>
                <w:ilvl w:val="0"/>
                <w:numId w:val="7"/>
              </w:numPr>
              <w:rPr>
                <w:rFonts w:cs="Calibri"/>
              </w:rPr>
            </w:pPr>
            <w:r w:rsidRPr="00C6151C">
              <w:t>This would reduce travel expenditures, as IMIs would only travel once per day instead of multiple times per day.</w:t>
            </w:r>
          </w:p>
          <w:p w:rsidR="00EC375D" w:rsidRPr="00C6151C" w:rsidRDefault="00EC375D" w:rsidP="00CD7359">
            <w:pPr>
              <w:spacing w:before="240"/>
              <w:rPr>
                <w:b/>
                <w:szCs w:val="24"/>
              </w:rPr>
            </w:pPr>
            <w:r w:rsidRPr="00C6151C">
              <w:rPr>
                <w:b/>
                <w:szCs w:val="24"/>
              </w:rPr>
              <w:t xml:space="preserve">Reassignment of Allocated Hours </w:t>
            </w:r>
          </w:p>
          <w:p w:rsidR="00EC375D" w:rsidRPr="00C6151C" w:rsidRDefault="00EC375D" w:rsidP="00CD7359">
            <w:pPr>
              <w:pStyle w:val="ListParagraph"/>
              <w:numPr>
                <w:ilvl w:val="0"/>
                <w:numId w:val="8"/>
              </w:numPr>
            </w:pPr>
            <w:r w:rsidRPr="00C6151C">
              <w:t xml:space="preserve">The most equitable way of reducing these hours would be a reallocation of programs to schools. </w:t>
            </w:r>
          </w:p>
          <w:p w:rsidR="00EC375D" w:rsidRPr="00C6151C" w:rsidRDefault="00EC375D" w:rsidP="00CD7359">
            <w:pPr>
              <w:pStyle w:val="ListParagraph"/>
              <w:numPr>
                <w:ilvl w:val="0"/>
                <w:numId w:val="8"/>
              </w:numPr>
            </w:pPr>
            <w:r w:rsidRPr="00C6151C">
              <w:t xml:space="preserve">Staff propose a review of the schools receiving Itinerant Music Instructor support </w:t>
            </w:r>
            <w:r w:rsidR="00FC2C49">
              <w:t xml:space="preserve">based on </w:t>
            </w:r>
            <w:r w:rsidRPr="00C6151C">
              <w:t>LOI as well as small schools, that otherwise would not have a m</w:t>
            </w:r>
            <w:r w:rsidR="00FC2C49">
              <w:t xml:space="preserve">usic program, receive priority </w:t>
            </w:r>
            <w:r w:rsidR="00DC5B64">
              <w:t xml:space="preserve"> </w:t>
            </w:r>
            <w:r w:rsidRPr="00C6151C">
              <w:t>placement of IMIs.</w:t>
            </w:r>
          </w:p>
          <w:p w:rsidR="00EC375D" w:rsidRPr="00C6151C" w:rsidRDefault="00EC375D" w:rsidP="00CD7359">
            <w:pPr>
              <w:spacing w:before="240"/>
              <w:rPr>
                <w:b/>
                <w:szCs w:val="24"/>
              </w:rPr>
            </w:pPr>
            <w:r w:rsidRPr="00C6151C">
              <w:rPr>
                <w:b/>
                <w:szCs w:val="24"/>
              </w:rPr>
              <w:t>Needs Assessment</w:t>
            </w:r>
          </w:p>
          <w:p w:rsidR="00EC375D" w:rsidRPr="00C6151C" w:rsidRDefault="00EC375D" w:rsidP="00CD7359">
            <w:pPr>
              <w:pStyle w:val="ListParagraph"/>
            </w:pPr>
            <w:r w:rsidRPr="00C6151C">
              <w:t>School applications would be reviewed on a regular cycle and assessed based upon criteria including: LOI, presence of specialized music teachers on staff, enrolment numbers, grades in school, Learning Centre equity of allocation, and board strategic goals.</w:t>
            </w:r>
          </w:p>
          <w:p w:rsidR="00594CAE" w:rsidRPr="0082616B" w:rsidRDefault="00EC375D" w:rsidP="00CD7359">
            <w:pPr>
              <w:pStyle w:val="ListParagraph"/>
            </w:pPr>
            <w:r w:rsidRPr="00AA1EE4">
              <w:t>All schools would be allocated hours based up</w:t>
            </w:r>
            <w:r w:rsidR="00BA4B6D">
              <w:t>on their needs assessment in 2.0</w:t>
            </w:r>
            <w:r w:rsidRPr="00AA1EE4">
              <w:t xml:space="preserve"> hour increments.</w:t>
            </w:r>
          </w:p>
        </w:tc>
        <w:tc>
          <w:tcPr>
            <w:tcW w:w="1890" w:type="dxa"/>
          </w:tcPr>
          <w:p w:rsidR="00EC375D" w:rsidRPr="00C6151C" w:rsidRDefault="00EC375D" w:rsidP="00E534CB">
            <w:pPr>
              <w:rPr>
                <w:szCs w:val="24"/>
              </w:rPr>
            </w:pPr>
            <w:r w:rsidRPr="00C6151C">
              <w:rPr>
                <w:szCs w:val="24"/>
              </w:rPr>
              <w:t>Differentiated Approaches to Serve Our Students</w:t>
            </w:r>
          </w:p>
        </w:tc>
        <w:tc>
          <w:tcPr>
            <w:tcW w:w="1710" w:type="dxa"/>
          </w:tcPr>
          <w:p w:rsidR="00EC375D" w:rsidRPr="007028AF" w:rsidRDefault="00EC375D" w:rsidP="00E534CB">
            <w:pPr>
              <w:rPr>
                <w:b/>
                <w:szCs w:val="24"/>
              </w:rPr>
            </w:pPr>
            <w:r w:rsidRPr="007028AF">
              <w:rPr>
                <w:b/>
                <w:szCs w:val="24"/>
              </w:rPr>
              <w:t>$1.39 million</w:t>
            </w:r>
          </w:p>
        </w:tc>
        <w:tc>
          <w:tcPr>
            <w:tcW w:w="1710" w:type="dxa"/>
          </w:tcPr>
          <w:p w:rsidR="00EC375D" w:rsidRPr="007028AF" w:rsidRDefault="00EC375D" w:rsidP="00E534CB">
            <w:pPr>
              <w:rPr>
                <w:b/>
                <w:szCs w:val="24"/>
              </w:rPr>
            </w:pPr>
          </w:p>
        </w:tc>
      </w:tr>
      <w:tr w:rsidR="00EC375D" w:rsidTr="00CF0412">
        <w:tc>
          <w:tcPr>
            <w:tcW w:w="2332" w:type="dxa"/>
            <w:shd w:val="clear" w:color="auto" w:fill="F2F2F2" w:themeFill="background1" w:themeFillShade="F2"/>
          </w:tcPr>
          <w:p w:rsidR="00EC375D" w:rsidRPr="00AA1EE4" w:rsidRDefault="00EC375D" w:rsidP="00E534CB">
            <w:pPr>
              <w:rPr>
                <w:b/>
                <w:szCs w:val="24"/>
              </w:rPr>
            </w:pPr>
            <w:r w:rsidRPr="00AA1EE4">
              <w:rPr>
                <w:b/>
              </w:rPr>
              <w:t>Profile Teachers and Administrative Support</w:t>
            </w:r>
          </w:p>
        </w:tc>
        <w:tc>
          <w:tcPr>
            <w:tcW w:w="5768" w:type="dxa"/>
            <w:shd w:val="clear" w:color="auto" w:fill="F2F2F2" w:themeFill="background1" w:themeFillShade="F2"/>
          </w:tcPr>
          <w:p w:rsidR="00EC375D" w:rsidRPr="00643C1E" w:rsidRDefault="00EC375D" w:rsidP="00E534CB">
            <w:r w:rsidRPr="00623A06">
              <w:rPr>
                <w:szCs w:val="24"/>
              </w:rPr>
              <w:t>These teaching positions have been historically allocated to a limited number of schools (based on legacy board practices) and in some cases to central departments to do system-wide coordination of events and learning activities that occur for</w:t>
            </w:r>
            <w:r>
              <w:t xml:space="preserve"> students. </w:t>
            </w:r>
          </w:p>
          <w:p w:rsidR="00EC375D" w:rsidRPr="00643C1E" w:rsidRDefault="00EC375D" w:rsidP="00E534CB">
            <w:r w:rsidRPr="00643C1E">
              <w:t>In some cases, schools with similar programming provide these opportunities from within the allocation they receive and do not require profile teachers. As part of the ongoing work with respect to the equitable allocation of resources, a reduction is proposed to the allocation of profile teachers.</w:t>
            </w:r>
            <w:r>
              <w:t xml:space="preserve">  </w:t>
            </w:r>
          </w:p>
          <w:p w:rsidR="00EC375D" w:rsidRPr="00AA1EE4" w:rsidRDefault="00EC375D" w:rsidP="00E534CB">
            <w:pPr>
              <w:rPr>
                <w:b/>
              </w:rPr>
            </w:pPr>
            <w:r w:rsidRPr="00AA1EE4">
              <w:rPr>
                <w:b/>
              </w:rPr>
              <w:t>Proposed Changes:</w:t>
            </w:r>
          </w:p>
          <w:p w:rsidR="00EC375D" w:rsidRPr="00643C1E" w:rsidRDefault="00EC375D" w:rsidP="00E534CB">
            <w:pPr>
              <w:rPr>
                <w:sz w:val="20"/>
              </w:rPr>
            </w:pPr>
            <w:r w:rsidRPr="00AA1EE4">
              <w:rPr>
                <w:b/>
              </w:rPr>
              <w:t>Elementary</w:t>
            </w:r>
            <w:r w:rsidRPr="00643C1E">
              <w:rPr>
                <w:sz w:val="20"/>
              </w:rPr>
              <w:t>:</w:t>
            </w:r>
          </w:p>
          <w:p w:rsidR="00EC375D" w:rsidRPr="00EB0202" w:rsidRDefault="00EC375D" w:rsidP="00CD7359">
            <w:pPr>
              <w:pStyle w:val="ListParagraph"/>
              <w:numPr>
                <w:ilvl w:val="0"/>
                <w:numId w:val="9"/>
              </w:numPr>
            </w:pPr>
            <w:r w:rsidRPr="00EB0202">
              <w:t xml:space="preserve">Music Itinerant 3.0 to </w:t>
            </w:r>
            <w:r w:rsidR="00DC5B64">
              <w:t>1.0</w:t>
            </w:r>
          </w:p>
          <w:p w:rsidR="00EC375D" w:rsidRPr="00643C1E" w:rsidRDefault="00EC375D" w:rsidP="00CD7359">
            <w:pPr>
              <w:pStyle w:val="ListParagraph"/>
              <w:numPr>
                <w:ilvl w:val="0"/>
                <w:numId w:val="9"/>
              </w:numPr>
            </w:pPr>
            <w:r w:rsidRPr="00643C1E">
              <w:t xml:space="preserve">IB 2.5 to 0 </w:t>
            </w:r>
          </w:p>
          <w:p w:rsidR="00EC375D" w:rsidRPr="00643C1E" w:rsidRDefault="00EC375D" w:rsidP="00CD7359">
            <w:pPr>
              <w:pStyle w:val="ListParagraph"/>
              <w:numPr>
                <w:ilvl w:val="0"/>
                <w:numId w:val="9"/>
              </w:numPr>
            </w:pPr>
            <w:r w:rsidRPr="00643C1E">
              <w:t>Elite Athletics 1.0 to 0</w:t>
            </w:r>
          </w:p>
          <w:p w:rsidR="00EC375D" w:rsidRPr="00FC353B" w:rsidRDefault="00EC375D" w:rsidP="00CD7359">
            <w:pPr>
              <w:pStyle w:val="ListParagraph"/>
              <w:numPr>
                <w:ilvl w:val="0"/>
                <w:numId w:val="9"/>
              </w:numPr>
              <w:rPr>
                <w:szCs w:val="22"/>
              </w:rPr>
            </w:pPr>
            <w:r w:rsidRPr="00643C1E">
              <w:t>Artistic Director 1.0 to 0</w:t>
            </w:r>
          </w:p>
          <w:p w:rsidR="00EC375D" w:rsidRPr="00594CAE" w:rsidRDefault="00EC375D" w:rsidP="00594CAE">
            <w:pPr>
              <w:spacing w:before="240"/>
              <w:rPr>
                <w:b/>
              </w:rPr>
            </w:pPr>
            <w:r w:rsidRPr="00594CAE">
              <w:rPr>
                <w:b/>
              </w:rPr>
              <w:t>Secondary:</w:t>
            </w:r>
          </w:p>
          <w:p w:rsidR="00EC375D" w:rsidRPr="00643C1E" w:rsidRDefault="00EC375D" w:rsidP="00CD7359">
            <w:pPr>
              <w:pStyle w:val="ListParagraph"/>
              <w:numPr>
                <w:ilvl w:val="0"/>
                <w:numId w:val="13"/>
              </w:numPr>
            </w:pPr>
            <w:r w:rsidRPr="00643C1E">
              <w:t>IB 5.0 to 2.5</w:t>
            </w:r>
          </w:p>
          <w:p w:rsidR="00EC375D" w:rsidRPr="00643C1E" w:rsidRDefault="00EC375D" w:rsidP="00CD7359">
            <w:pPr>
              <w:pStyle w:val="ListParagraph"/>
              <w:numPr>
                <w:ilvl w:val="0"/>
                <w:numId w:val="13"/>
              </w:numPr>
            </w:pPr>
            <w:r w:rsidRPr="00643C1E">
              <w:t>Robotics 1.0 to 0</w:t>
            </w:r>
          </w:p>
          <w:p w:rsidR="00EC375D" w:rsidRPr="00643C1E" w:rsidRDefault="00EC375D" w:rsidP="00CD7359">
            <w:pPr>
              <w:pStyle w:val="ListParagraph"/>
              <w:numPr>
                <w:ilvl w:val="0"/>
                <w:numId w:val="13"/>
              </w:numPr>
            </w:pPr>
            <w:r w:rsidRPr="00643C1E">
              <w:t>Regional Athletics 2.0 to 0</w:t>
            </w:r>
          </w:p>
          <w:p w:rsidR="00EC375D" w:rsidRPr="00FC353B" w:rsidRDefault="00EC375D" w:rsidP="00CD7359">
            <w:pPr>
              <w:pStyle w:val="ListParagraph"/>
              <w:numPr>
                <w:ilvl w:val="0"/>
                <w:numId w:val="13"/>
              </w:numPr>
              <w:rPr>
                <w:szCs w:val="22"/>
              </w:rPr>
            </w:pPr>
            <w:r w:rsidRPr="00643C1E">
              <w:t>Elite Athletics 3.0 to 0</w:t>
            </w:r>
          </w:p>
          <w:p w:rsidR="00EC375D" w:rsidRPr="00C6151C" w:rsidRDefault="00EC375D" w:rsidP="00407AD2">
            <w:pPr>
              <w:spacing w:before="240"/>
              <w:rPr>
                <w:szCs w:val="24"/>
              </w:rPr>
            </w:pPr>
            <w:r w:rsidRPr="00643C1E">
              <w:t>Profile teachers who provide direct programming on a daily basis to students from across the syste</w:t>
            </w:r>
            <w:r>
              <w:t>m are being maintained for 2019-</w:t>
            </w:r>
            <w:r w:rsidRPr="00643C1E">
              <w:t>20.</w:t>
            </w:r>
          </w:p>
        </w:tc>
        <w:tc>
          <w:tcPr>
            <w:tcW w:w="1890" w:type="dxa"/>
            <w:shd w:val="clear" w:color="auto" w:fill="F2F2F2" w:themeFill="background1" w:themeFillShade="F2"/>
          </w:tcPr>
          <w:p w:rsidR="00EC375D" w:rsidRPr="00C6151C" w:rsidRDefault="00EC375D" w:rsidP="00EC375D">
            <w:pPr>
              <w:rPr>
                <w:szCs w:val="24"/>
              </w:rPr>
            </w:pPr>
            <w:r w:rsidRPr="00643C1E">
              <w:t>Differentiated Approaches to Serve Our Students</w:t>
            </w:r>
          </w:p>
        </w:tc>
        <w:tc>
          <w:tcPr>
            <w:tcW w:w="1710" w:type="dxa"/>
            <w:shd w:val="clear" w:color="auto" w:fill="F2F2F2" w:themeFill="background1" w:themeFillShade="F2"/>
          </w:tcPr>
          <w:p w:rsidR="00EC375D" w:rsidRPr="007028AF" w:rsidRDefault="00EC375D" w:rsidP="00EC375D">
            <w:pPr>
              <w:rPr>
                <w:b/>
                <w:szCs w:val="24"/>
              </w:rPr>
            </w:pPr>
            <w:r w:rsidRPr="007028AF">
              <w:rPr>
                <w:b/>
                <w:szCs w:val="24"/>
              </w:rPr>
              <w:t>$2.24 million</w:t>
            </w:r>
          </w:p>
        </w:tc>
        <w:tc>
          <w:tcPr>
            <w:tcW w:w="1710" w:type="dxa"/>
            <w:shd w:val="clear" w:color="auto" w:fill="F2F2F2" w:themeFill="background1" w:themeFillShade="F2"/>
          </w:tcPr>
          <w:p w:rsidR="00EC375D" w:rsidRPr="007028AF" w:rsidRDefault="00EC375D" w:rsidP="00E534CB">
            <w:pPr>
              <w:rPr>
                <w:b/>
                <w:szCs w:val="24"/>
              </w:rPr>
            </w:pPr>
          </w:p>
        </w:tc>
      </w:tr>
      <w:tr w:rsidR="00EC375D" w:rsidTr="00623A06">
        <w:trPr>
          <w:trHeight w:val="1151"/>
        </w:trPr>
        <w:tc>
          <w:tcPr>
            <w:tcW w:w="2332" w:type="dxa"/>
            <w:shd w:val="clear" w:color="auto" w:fill="FFFFFF" w:themeFill="background1"/>
          </w:tcPr>
          <w:p w:rsidR="00EC375D" w:rsidRPr="00643C1E" w:rsidRDefault="00EC375D" w:rsidP="00E534CB">
            <w:r w:rsidRPr="00AA1EE4">
              <w:rPr>
                <w:b/>
              </w:rPr>
              <w:t>Secondary</w:t>
            </w:r>
            <w:r w:rsidRPr="00643C1E">
              <w:t xml:space="preserve"> </w:t>
            </w:r>
            <w:r w:rsidRPr="00AA1EE4">
              <w:rPr>
                <w:b/>
              </w:rPr>
              <w:t>Vice-Principals</w:t>
            </w:r>
          </w:p>
        </w:tc>
        <w:tc>
          <w:tcPr>
            <w:tcW w:w="5768" w:type="dxa"/>
            <w:shd w:val="clear" w:color="auto" w:fill="FFFFFF" w:themeFill="background1"/>
          </w:tcPr>
          <w:p w:rsidR="00287921" w:rsidRPr="00643C1E" w:rsidRDefault="00EC375D" w:rsidP="00E534CB">
            <w:r w:rsidRPr="00643C1E">
              <w:t>This reduction is due to the number of schools with smaller enr</w:t>
            </w:r>
            <w:r>
              <w:t>olments, as well as the closure</w:t>
            </w:r>
            <w:r w:rsidRPr="00643C1E">
              <w:t xml:space="preserve"> of Bendale Business and Technical Institute.</w:t>
            </w:r>
          </w:p>
        </w:tc>
        <w:tc>
          <w:tcPr>
            <w:tcW w:w="1890" w:type="dxa"/>
            <w:shd w:val="clear" w:color="auto" w:fill="FFFFFF" w:themeFill="background1"/>
          </w:tcPr>
          <w:p w:rsidR="00EC375D" w:rsidRPr="00C6151C" w:rsidRDefault="00EC375D" w:rsidP="00E534CB">
            <w:pPr>
              <w:rPr>
                <w:szCs w:val="24"/>
              </w:rPr>
            </w:pPr>
          </w:p>
        </w:tc>
        <w:tc>
          <w:tcPr>
            <w:tcW w:w="1710" w:type="dxa"/>
            <w:shd w:val="clear" w:color="auto" w:fill="FFFFFF" w:themeFill="background1"/>
          </w:tcPr>
          <w:p w:rsidR="00EC375D" w:rsidRPr="007028AF" w:rsidRDefault="00EC375D" w:rsidP="00E534CB">
            <w:pPr>
              <w:rPr>
                <w:b/>
                <w:szCs w:val="24"/>
              </w:rPr>
            </w:pPr>
            <w:r w:rsidRPr="007028AF">
              <w:rPr>
                <w:b/>
                <w:szCs w:val="24"/>
              </w:rPr>
              <w:t>$0.92 million</w:t>
            </w:r>
          </w:p>
        </w:tc>
        <w:tc>
          <w:tcPr>
            <w:tcW w:w="1710" w:type="dxa"/>
            <w:shd w:val="clear" w:color="auto" w:fill="FFFFFF" w:themeFill="background1"/>
          </w:tcPr>
          <w:p w:rsidR="00EC375D" w:rsidRPr="007028AF" w:rsidRDefault="00EC375D" w:rsidP="00E534CB">
            <w:pPr>
              <w:rPr>
                <w:b/>
                <w:szCs w:val="24"/>
              </w:rPr>
            </w:pPr>
          </w:p>
        </w:tc>
      </w:tr>
      <w:tr w:rsidR="00EC375D" w:rsidTr="00CF0412">
        <w:tc>
          <w:tcPr>
            <w:tcW w:w="2332" w:type="dxa"/>
            <w:shd w:val="clear" w:color="auto" w:fill="F2F2F2" w:themeFill="background1" w:themeFillShade="F2"/>
          </w:tcPr>
          <w:p w:rsidR="00EC375D" w:rsidRPr="00AA1EE4" w:rsidRDefault="00EC375D" w:rsidP="00E534CB">
            <w:pPr>
              <w:rPr>
                <w:b/>
              </w:rPr>
            </w:pPr>
            <w:r w:rsidRPr="00AA1EE4">
              <w:rPr>
                <w:b/>
              </w:rPr>
              <w:t>Supplementary Teachers – French</w:t>
            </w:r>
          </w:p>
        </w:tc>
        <w:tc>
          <w:tcPr>
            <w:tcW w:w="5768" w:type="dxa"/>
            <w:shd w:val="clear" w:color="auto" w:fill="F2F2F2" w:themeFill="background1" w:themeFillShade="F2"/>
          </w:tcPr>
          <w:p w:rsidR="00594CAE" w:rsidRDefault="00EC375D" w:rsidP="00594CAE">
            <w:pPr>
              <w:spacing w:after="0"/>
            </w:pPr>
            <w:r w:rsidRPr="00643C1E">
              <w:t>Because of the way that French Immersion at the TDSB is structured (number of locations and size of each program),the TDSB is required to provide a greater number of teachers to serve students than we would if the program were structured differently.</w:t>
            </w:r>
          </w:p>
          <w:p w:rsidR="00EC375D" w:rsidRPr="00643C1E" w:rsidRDefault="00EC375D" w:rsidP="00594CAE">
            <w:pPr>
              <w:spacing w:before="0"/>
            </w:pPr>
            <w:r w:rsidRPr="00643C1E">
              <w:br/>
              <w:t>Unlike other boards which typically provide one or two entry points into French Immersion, the TDSB offers several entry points. The two system entry points are: Senior Kindergarten for French Immersion and Grad</w:t>
            </w:r>
            <w:r>
              <w:t>e 4 for Junior Extended Fr</w:t>
            </w:r>
            <w:r w:rsidRPr="00704423">
              <w:t>ench. Other locally managed French as a Second Language</w:t>
            </w:r>
            <w:r>
              <w:t xml:space="preserve"> entry points</w:t>
            </w:r>
            <w:r w:rsidRPr="00704423">
              <w:t xml:space="preserve"> include Core French in Grade 4, Middle Immersion in Grade 4, Extended French in Grade 7, Intensive Extended French in Grade 6 at one school and Hawthorne Bilingual French starting in SK.  </w:t>
            </w:r>
          </w:p>
          <w:p w:rsidR="00EC375D" w:rsidRPr="00643C1E" w:rsidRDefault="00EC375D" w:rsidP="00E534CB">
            <w:r w:rsidRPr="00643C1E">
              <w:t>As a result of this structure, class sizes in French Immersion are putting added pressure on class sizes elsewhere in the system and the TDSB is not allocating teachers in an optimal way to benefit all students. Reducing this allocation is the result of moving toward a structure that would see French Immersion staffed according</w:t>
            </w:r>
            <w:r>
              <w:t xml:space="preserve"> to enrolment. </w:t>
            </w:r>
          </w:p>
          <w:p w:rsidR="00EC375D" w:rsidRPr="00643C1E" w:rsidRDefault="00EC375D" w:rsidP="00E534CB">
            <w:r w:rsidRPr="00643C1E">
              <w:t>A staff report on Core French and French Immersion will be discussed by the Board in June 2019 and will propose changes to existing entry points to FI, transportation, teacher recruitment, staffing, minimum class size for French Immersion, immersion centres, and triple track schools. The changes recommended will provide a better experience for all students by bringing a greater focus to a few selected programs, and concentration of resources.</w:t>
            </w:r>
          </w:p>
        </w:tc>
        <w:tc>
          <w:tcPr>
            <w:tcW w:w="1890" w:type="dxa"/>
            <w:shd w:val="clear" w:color="auto" w:fill="F2F2F2" w:themeFill="background1" w:themeFillShade="F2"/>
          </w:tcPr>
          <w:p w:rsidR="00EC375D" w:rsidRPr="00FC353B" w:rsidRDefault="00EC375D" w:rsidP="00E534CB">
            <w:pPr>
              <w:rPr>
                <w:rFonts w:cstheme="minorHAnsi"/>
                <w:sz w:val="20"/>
              </w:rPr>
            </w:pPr>
            <w:r>
              <w:rPr>
                <w:rFonts w:cstheme="minorHAnsi"/>
                <w:sz w:val="20"/>
              </w:rPr>
              <w:t>Student Success</w:t>
            </w:r>
          </w:p>
          <w:p w:rsidR="00EC375D" w:rsidRPr="00643C1E" w:rsidRDefault="00EC375D" w:rsidP="00E534CB">
            <w:pPr>
              <w:rPr>
                <w:rFonts w:cstheme="minorHAnsi"/>
                <w:sz w:val="20"/>
              </w:rPr>
            </w:pPr>
            <w:r w:rsidRPr="00643C1E">
              <w:rPr>
                <w:rFonts w:cstheme="minorHAnsi"/>
                <w:sz w:val="20"/>
              </w:rPr>
              <w:t>Allocate Human and Financial Resources Strategically to Support Student Needs</w:t>
            </w:r>
          </w:p>
          <w:p w:rsidR="00EC375D" w:rsidRPr="00C6151C" w:rsidRDefault="00EC375D" w:rsidP="00E534CB">
            <w:pPr>
              <w:rPr>
                <w:szCs w:val="24"/>
              </w:rPr>
            </w:pPr>
          </w:p>
        </w:tc>
        <w:tc>
          <w:tcPr>
            <w:tcW w:w="1710" w:type="dxa"/>
            <w:shd w:val="clear" w:color="auto" w:fill="F2F2F2" w:themeFill="background1" w:themeFillShade="F2"/>
          </w:tcPr>
          <w:p w:rsidR="00EC375D" w:rsidRPr="007028AF" w:rsidRDefault="007028AF" w:rsidP="007028AF">
            <w:pPr>
              <w:rPr>
                <w:b/>
                <w:szCs w:val="24"/>
              </w:rPr>
            </w:pPr>
            <w:r w:rsidRPr="007028AF">
              <w:rPr>
                <w:b/>
                <w:szCs w:val="24"/>
              </w:rPr>
              <w:t xml:space="preserve"> </w:t>
            </w:r>
          </w:p>
        </w:tc>
        <w:tc>
          <w:tcPr>
            <w:tcW w:w="1710" w:type="dxa"/>
            <w:shd w:val="clear" w:color="auto" w:fill="F2F2F2" w:themeFill="background1" w:themeFillShade="F2"/>
          </w:tcPr>
          <w:p w:rsidR="007028AF" w:rsidRPr="007028AF" w:rsidRDefault="007028AF" w:rsidP="007028AF">
            <w:pPr>
              <w:rPr>
                <w:b/>
                <w:szCs w:val="24"/>
              </w:rPr>
            </w:pPr>
            <w:r w:rsidRPr="007028AF">
              <w:rPr>
                <w:b/>
                <w:szCs w:val="24"/>
              </w:rPr>
              <w:t>$12.15 million</w:t>
            </w:r>
          </w:p>
          <w:p w:rsidR="00EC375D" w:rsidRPr="007028AF" w:rsidRDefault="00EC375D" w:rsidP="00E534CB">
            <w:pPr>
              <w:rPr>
                <w:b/>
                <w:szCs w:val="24"/>
              </w:rPr>
            </w:pPr>
          </w:p>
        </w:tc>
      </w:tr>
      <w:tr w:rsidR="00EC375D" w:rsidTr="00CF0412">
        <w:tc>
          <w:tcPr>
            <w:tcW w:w="2332" w:type="dxa"/>
            <w:shd w:val="clear" w:color="auto" w:fill="FFFFFF" w:themeFill="background1"/>
          </w:tcPr>
          <w:p w:rsidR="00EC375D" w:rsidRPr="00643C1E" w:rsidRDefault="00EC375D" w:rsidP="00E534CB">
            <w:pPr>
              <w:rPr>
                <w:b/>
                <w:sz w:val="20"/>
              </w:rPr>
            </w:pPr>
            <w:r w:rsidRPr="007028AF">
              <w:rPr>
                <w:b/>
                <w:szCs w:val="24"/>
              </w:rPr>
              <w:t>Supplementary</w:t>
            </w:r>
            <w:r w:rsidRPr="00643C1E">
              <w:rPr>
                <w:b/>
                <w:sz w:val="20"/>
              </w:rPr>
              <w:t xml:space="preserve"> </w:t>
            </w:r>
            <w:r w:rsidRPr="007028AF">
              <w:rPr>
                <w:b/>
                <w:szCs w:val="24"/>
              </w:rPr>
              <w:t>Teachers</w:t>
            </w:r>
            <w:r w:rsidRPr="00643C1E">
              <w:rPr>
                <w:b/>
                <w:sz w:val="20"/>
              </w:rPr>
              <w:t xml:space="preserve"> – </w:t>
            </w:r>
            <w:r w:rsidRPr="007028AF">
              <w:rPr>
                <w:b/>
                <w:szCs w:val="24"/>
              </w:rPr>
              <w:t>Gifted</w:t>
            </w:r>
          </w:p>
        </w:tc>
        <w:tc>
          <w:tcPr>
            <w:tcW w:w="5768" w:type="dxa"/>
            <w:shd w:val="clear" w:color="auto" w:fill="FFFFFF" w:themeFill="background1"/>
          </w:tcPr>
          <w:p w:rsidR="00EC375D" w:rsidRPr="00643C1E" w:rsidRDefault="00EC375D" w:rsidP="00E534CB">
            <w:r w:rsidRPr="00643C1E">
              <w:t>Because of the way that Gifted at the TDSB is structured (number of locations and size of each program), the TDSB is required to provide a greater number of teachers to serve students than we would if the program were structured differently.</w:t>
            </w:r>
          </w:p>
          <w:p w:rsidR="00EC375D" w:rsidRPr="00643C1E" w:rsidRDefault="00EC375D" w:rsidP="00E534CB">
            <w:r w:rsidRPr="00643C1E">
              <w:t>As a result of this structure, class sizes in Gifted are putting added pressure on class sizes elsewhere in the system and the TDSB is not allocating teachers in an optimal way to benefit all students. Reducing this allocation is the result of moving toward a structure that would see Gifted s</w:t>
            </w:r>
            <w:r>
              <w:t xml:space="preserve">taffed according to enrolment. </w:t>
            </w:r>
          </w:p>
          <w:p w:rsidR="00EC375D" w:rsidRPr="00643C1E" w:rsidRDefault="00EC375D" w:rsidP="00E534CB">
            <w:r w:rsidRPr="00643C1E">
              <w:t>Current teacher staffing allocation for French Immersion, Gifted and alternative and secondary schools is being reviewed by staff and changes are also expected. Teacher allocations will need to reflect actual enrolment.  When teacher allocation is tied to enrolment, secondary schools with lower enrolment cannot offer a full range of programs for students compared to higher enrolment schools. For this reason, staff will be reviewing lower enrolment secondary schools with an eye to consolidate in an effort to boost programming options for students.</w:t>
            </w:r>
          </w:p>
        </w:tc>
        <w:tc>
          <w:tcPr>
            <w:tcW w:w="1890" w:type="dxa"/>
            <w:shd w:val="clear" w:color="auto" w:fill="FFFFFF" w:themeFill="background1"/>
          </w:tcPr>
          <w:p w:rsidR="00EC375D" w:rsidRPr="00643C1E" w:rsidRDefault="00EC375D" w:rsidP="007028AF">
            <w:r>
              <w:t>Student Success</w:t>
            </w:r>
          </w:p>
          <w:p w:rsidR="00EC375D" w:rsidRPr="00643C1E" w:rsidRDefault="00EC375D" w:rsidP="007028AF">
            <w:r w:rsidRPr="00643C1E">
              <w:t>Allocate Human and Financial Resources Strategically to Support Student Needs</w:t>
            </w:r>
          </w:p>
          <w:p w:rsidR="00EC375D" w:rsidRPr="00643C1E" w:rsidRDefault="00EC375D" w:rsidP="00E534CB">
            <w:pPr>
              <w:rPr>
                <w:rFonts w:cstheme="minorHAnsi"/>
                <w:sz w:val="20"/>
              </w:rPr>
            </w:pPr>
          </w:p>
          <w:p w:rsidR="00EC375D" w:rsidRPr="00C6151C" w:rsidRDefault="00EC375D" w:rsidP="00E534CB">
            <w:pPr>
              <w:rPr>
                <w:szCs w:val="24"/>
              </w:rPr>
            </w:pPr>
          </w:p>
        </w:tc>
        <w:tc>
          <w:tcPr>
            <w:tcW w:w="1710" w:type="dxa"/>
            <w:shd w:val="clear" w:color="auto" w:fill="FFFFFF" w:themeFill="background1"/>
          </w:tcPr>
          <w:p w:rsidR="00EC375D" w:rsidRPr="007028AF" w:rsidRDefault="00EC375D" w:rsidP="00E534CB">
            <w:pPr>
              <w:rPr>
                <w:b/>
                <w:szCs w:val="24"/>
              </w:rPr>
            </w:pPr>
          </w:p>
        </w:tc>
        <w:tc>
          <w:tcPr>
            <w:tcW w:w="1710" w:type="dxa"/>
            <w:shd w:val="clear" w:color="auto" w:fill="FFFFFF" w:themeFill="background1"/>
          </w:tcPr>
          <w:p w:rsidR="007028AF" w:rsidRPr="007028AF" w:rsidRDefault="007028AF" w:rsidP="007028AF">
            <w:pPr>
              <w:rPr>
                <w:b/>
                <w:szCs w:val="24"/>
              </w:rPr>
            </w:pPr>
            <w:r w:rsidRPr="007028AF">
              <w:rPr>
                <w:b/>
                <w:szCs w:val="24"/>
              </w:rPr>
              <w:t>$3.40 million</w:t>
            </w:r>
          </w:p>
          <w:p w:rsidR="00EC375D" w:rsidRPr="007028AF" w:rsidRDefault="00EC375D" w:rsidP="00E534CB">
            <w:pPr>
              <w:rPr>
                <w:b/>
                <w:szCs w:val="24"/>
              </w:rPr>
            </w:pPr>
          </w:p>
        </w:tc>
      </w:tr>
      <w:tr w:rsidR="00EC375D" w:rsidTr="00CF0412">
        <w:tc>
          <w:tcPr>
            <w:tcW w:w="2332" w:type="dxa"/>
            <w:shd w:val="clear" w:color="auto" w:fill="F2F2F2" w:themeFill="background1" w:themeFillShade="F2"/>
          </w:tcPr>
          <w:p w:rsidR="00EC375D" w:rsidRPr="005455A6" w:rsidRDefault="00EC375D" w:rsidP="00E534CB">
            <w:pPr>
              <w:rPr>
                <w:b/>
                <w:szCs w:val="24"/>
              </w:rPr>
            </w:pPr>
            <w:r w:rsidRPr="005455A6">
              <w:rPr>
                <w:b/>
              </w:rPr>
              <w:t>Facilities</w:t>
            </w:r>
          </w:p>
        </w:tc>
        <w:tc>
          <w:tcPr>
            <w:tcW w:w="5768" w:type="dxa"/>
            <w:shd w:val="clear" w:color="auto" w:fill="F2F2F2" w:themeFill="background1" w:themeFillShade="F2"/>
          </w:tcPr>
          <w:p w:rsidR="00EC375D" w:rsidRPr="005455A6" w:rsidRDefault="00EC375D" w:rsidP="00E534CB">
            <w:r w:rsidRPr="00643C1E">
              <w:t>As a result of funding reductions</w:t>
            </w:r>
            <w:r>
              <w:t xml:space="preserve"> to the School Operations Grant</w:t>
            </w:r>
            <w:r w:rsidRPr="00643C1E">
              <w:t xml:space="preserve">, the TDSB must reduce </w:t>
            </w:r>
            <w:r>
              <w:t>staff, including caretakers</w:t>
            </w:r>
            <w:r w:rsidRPr="00643C1E">
              <w:t xml:space="preserve">. </w:t>
            </w:r>
          </w:p>
          <w:p w:rsidR="00EC375D" w:rsidRPr="005455A6" w:rsidRDefault="00EC375D" w:rsidP="00E534CB">
            <w:pPr>
              <w:rPr>
                <w:b/>
              </w:rPr>
            </w:pPr>
            <w:r w:rsidRPr="005455A6">
              <w:rPr>
                <w:b/>
              </w:rPr>
              <w:t>Proposed Changes:</w:t>
            </w:r>
          </w:p>
          <w:p w:rsidR="00EC375D" w:rsidRPr="00AA1EE4" w:rsidRDefault="00EC375D" w:rsidP="003005BC">
            <w:pPr>
              <w:pStyle w:val="PlainText"/>
              <w:numPr>
                <w:ilvl w:val="0"/>
                <w:numId w:val="21"/>
              </w:numPr>
              <w:rPr>
                <w:rFonts w:ascii="Arial" w:hAnsi="Arial" w:cs="Arial"/>
                <w:sz w:val="24"/>
                <w:szCs w:val="24"/>
              </w:rPr>
            </w:pPr>
            <w:r w:rsidRPr="00AA1EE4">
              <w:rPr>
                <w:rFonts w:ascii="Arial" w:hAnsi="Arial" w:cs="Arial"/>
                <w:sz w:val="24"/>
                <w:szCs w:val="24"/>
              </w:rPr>
              <w:t>Trades staff: reduction of 8</w:t>
            </w:r>
          </w:p>
          <w:p w:rsidR="00EC375D" w:rsidRPr="00AA1EE4" w:rsidRDefault="00EC375D" w:rsidP="003005BC">
            <w:pPr>
              <w:pStyle w:val="PlainText"/>
              <w:numPr>
                <w:ilvl w:val="0"/>
                <w:numId w:val="21"/>
              </w:numPr>
              <w:rPr>
                <w:rFonts w:ascii="Arial" w:hAnsi="Arial" w:cs="Arial"/>
                <w:sz w:val="24"/>
                <w:szCs w:val="24"/>
              </w:rPr>
            </w:pPr>
            <w:r w:rsidRPr="00AA1EE4">
              <w:rPr>
                <w:rFonts w:ascii="Arial" w:hAnsi="Arial" w:cs="Arial"/>
                <w:sz w:val="24"/>
                <w:szCs w:val="24"/>
              </w:rPr>
              <w:t>Management staff: reduction of 3</w:t>
            </w:r>
          </w:p>
          <w:p w:rsidR="00EC375D" w:rsidRPr="00AA1EE4" w:rsidRDefault="00EC375D" w:rsidP="003005BC">
            <w:pPr>
              <w:pStyle w:val="PlainText"/>
              <w:numPr>
                <w:ilvl w:val="0"/>
                <w:numId w:val="21"/>
              </w:numPr>
              <w:rPr>
                <w:rFonts w:ascii="Arial" w:hAnsi="Arial" w:cs="Arial"/>
                <w:sz w:val="24"/>
                <w:szCs w:val="24"/>
              </w:rPr>
            </w:pPr>
            <w:r w:rsidRPr="00AA1EE4">
              <w:rPr>
                <w:rFonts w:ascii="Arial" w:hAnsi="Arial" w:cs="Arial"/>
                <w:sz w:val="24"/>
                <w:szCs w:val="24"/>
              </w:rPr>
              <w:t>Summer student employment: reduction of 10</w:t>
            </w:r>
          </w:p>
          <w:p w:rsidR="00EC375D" w:rsidRPr="00AA1EE4" w:rsidRDefault="00EC375D" w:rsidP="003005BC">
            <w:pPr>
              <w:pStyle w:val="PlainText"/>
              <w:numPr>
                <w:ilvl w:val="0"/>
                <w:numId w:val="21"/>
              </w:numPr>
              <w:rPr>
                <w:rFonts w:ascii="Arial" w:hAnsi="Arial" w:cs="Arial"/>
                <w:sz w:val="24"/>
                <w:szCs w:val="24"/>
              </w:rPr>
            </w:pPr>
            <w:r w:rsidRPr="00AA1EE4">
              <w:rPr>
                <w:rFonts w:ascii="Arial" w:hAnsi="Arial" w:cs="Arial"/>
                <w:sz w:val="24"/>
                <w:szCs w:val="24"/>
              </w:rPr>
              <w:t>Caretaking: reduction of 52</w:t>
            </w:r>
          </w:p>
          <w:p w:rsidR="00EC375D" w:rsidRPr="00643C1E" w:rsidRDefault="00EC375D" w:rsidP="00A35C7F">
            <w:pPr>
              <w:spacing w:before="240"/>
            </w:pPr>
            <w:r w:rsidRPr="00643C1E">
              <w:t>To ensure that the level of service and cleanliness experienced by TDSB schools remains the same, staff are proposing to close classrooms that are not presently being used for core programming in schools across the system. If the TDSB does not close these classrooms, fewer caretakers will be responsible for cleaning the same amount of space, which will result in a reduction in service and cleanliness.</w:t>
            </w:r>
          </w:p>
        </w:tc>
        <w:tc>
          <w:tcPr>
            <w:tcW w:w="1890" w:type="dxa"/>
            <w:shd w:val="clear" w:color="auto" w:fill="F2F2F2" w:themeFill="background1" w:themeFillShade="F2"/>
          </w:tcPr>
          <w:p w:rsidR="00EC375D" w:rsidRPr="00C6151C" w:rsidRDefault="00EC375D" w:rsidP="00E534CB">
            <w:pPr>
              <w:rPr>
                <w:szCs w:val="24"/>
              </w:rPr>
            </w:pPr>
            <w:r w:rsidRPr="00643C1E">
              <w:t>Allocate Human and Financial Resources Strategically to Support Student Needs</w:t>
            </w:r>
          </w:p>
        </w:tc>
        <w:tc>
          <w:tcPr>
            <w:tcW w:w="1710" w:type="dxa"/>
            <w:shd w:val="clear" w:color="auto" w:fill="F2F2F2" w:themeFill="background1" w:themeFillShade="F2"/>
          </w:tcPr>
          <w:p w:rsidR="00EC375D" w:rsidRPr="007028AF" w:rsidRDefault="00EC375D" w:rsidP="00E534CB">
            <w:pPr>
              <w:rPr>
                <w:b/>
                <w:szCs w:val="24"/>
              </w:rPr>
            </w:pPr>
            <w:r w:rsidRPr="007028AF">
              <w:rPr>
                <w:b/>
                <w:szCs w:val="24"/>
              </w:rPr>
              <w:t>$4.61 million</w:t>
            </w:r>
          </w:p>
        </w:tc>
        <w:tc>
          <w:tcPr>
            <w:tcW w:w="1710" w:type="dxa"/>
            <w:shd w:val="clear" w:color="auto" w:fill="F2F2F2" w:themeFill="background1" w:themeFillShade="F2"/>
          </w:tcPr>
          <w:p w:rsidR="00EC375D" w:rsidRPr="007028AF" w:rsidRDefault="00EC375D" w:rsidP="00E534CB">
            <w:pPr>
              <w:rPr>
                <w:b/>
                <w:szCs w:val="24"/>
              </w:rPr>
            </w:pPr>
          </w:p>
        </w:tc>
      </w:tr>
      <w:tr w:rsidR="007028AF" w:rsidTr="00CF0412">
        <w:tc>
          <w:tcPr>
            <w:tcW w:w="2332" w:type="dxa"/>
            <w:shd w:val="clear" w:color="auto" w:fill="F2F2F2" w:themeFill="background1" w:themeFillShade="F2"/>
          </w:tcPr>
          <w:p w:rsidR="007028AF" w:rsidRPr="00F85541" w:rsidRDefault="007028AF" w:rsidP="007028AF">
            <w:pPr>
              <w:rPr>
                <w:rFonts w:cstheme="minorHAnsi"/>
                <w:b/>
                <w:color w:val="000000" w:themeColor="text1"/>
              </w:rPr>
            </w:pPr>
            <w:r w:rsidRPr="00F85541">
              <w:rPr>
                <w:rFonts w:cstheme="minorHAnsi"/>
                <w:b/>
                <w:color w:val="000000" w:themeColor="text1"/>
              </w:rPr>
              <w:t>Transportation Services – French Immersion/Extended French and Gifted</w:t>
            </w:r>
          </w:p>
        </w:tc>
        <w:tc>
          <w:tcPr>
            <w:tcW w:w="5768" w:type="dxa"/>
            <w:shd w:val="clear" w:color="auto" w:fill="F2F2F2" w:themeFill="background1" w:themeFillShade="F2"/>
          </w:tcPr>
          <w:p w:rsidR="007028AF" w:rsidRPr="00F85541" w:rsidRDefault="007028AF" w:rsidP="007028AF">
            <w:pPr>
              <w:rPr>
                <w:rFonts w:cstheme="minorHAnsi"/>
                <w:color w:val="000000" w:themeColor="text1"/>
              </w:rPr>
            </w:pPr>
            <w:r w:rsidRPr="00F85541">
              <w:rPr>
                <w:rFonts w:cstheme="minorHAnsi"/>
                <w:color w:val="000000" w:themeColor="text1"/>
              </w:rPr>
              <w:t xml:space="preserve">The TDSB transports approximately 23,000 students each day (special education, distance, Gifted and French Immersion/Extended French). The current cost to the TDSB for transportation is $68 million. The Board is funded $62.1 million for transportation by the Ministry. The TDSB is currently using resources from other places to offset this difference and needs to live within our envelope so that these resources can be used in other places to support students and classrooms. </w:t>
            </w:r>
          </w:p>
          <w:p w:rsidR="007028AF" w:rsidRPr="00F85541" w:rsidRDefault="007028AF" w:rsidP="00A35C7F">
            <w:pPr>
              <w:spacing w:after="120"/>
              <w:rPr>
                <w:rFonts w:cstheme="minorHAnsi"/>
                <w:b/>
                <w:color w:val="000000" w:themeColor="text1"/>
              </w:rPr>
            </w:pPr>
            <w:r w:rsidRPr="00F85541">
              <w:rPr>
                <w:rFonts w:cstheme="minorHAnsi"/>
                <w:b/>
                <w:color w:val="000000" w:themeColor="text1"/>
              </w:rPr>
              <w:t>Proposed Changes:</w:t>
            </w:r>
          </w:p>
          <w:p w:rsidR="007028AF" w:rsidRPr="00F85541" w:rsidRDefault="007028AF" w:rsidP="00CD7359">
            <w:pPr>
              <w:pStyle w:val="ListParagraph"/>
            </w:pPr>
            <w:r w:rsidRPr="00F85541">
              <w:t>Continue French Immersion (FI) and Extended French (EF) transportation for Grades SK-8 for the 2019-20 school year.</w:t>
            </w:r>
          </w:p>
          <w:p w:rsidR="007028AF" w:rsidRPr="00F85541" w:rsidRDefault="007028AF" w:rsidP="00CD7359">
            <w:pPr>
              <w:pStyle w:val="ListParagraph"/>
            </w:pPr>
            <w:r w:rsidRPr="00F85541">
              <w:t>In the meantime, through the French Review report due to be before the Board in June 2019 and the work that will follow in the summer of 2019, staff will examine program placement and review the transportation policy to ensure greater access to programs.</w:t>
            </w:r>
          </w:p>
          <w:p w:rsidR="007028AF" w:rsidRPr="00F85541" w:rsidRDefault="007028AF" w:rsidP="00CD7359">
            <w:pPr>
              <w:pStyle w:val="ListParagraph"/>
            </w:pPr>
            <w:r w:rsidRPr="00F85541">
              <w:t>Staff recommend the 2019-20 budget be approved with the elimination of TTC tokens for grades 9-12 for French Immersion/Extended French.</w:t>
            </w:r>
          </w:p>
          <w:p w:rsidR="007028AF" w:rsidRPr="00F85541" w:rsidRDefault="007028AF" w:rsidP="00CD7359">
            <w:pPr>
              <w:pStyle w:val="ListParagraph"/>
            </w:pPr>
            <w:r w:rsidRPr="00F85541">
              <w:t>With respect to the Gifted program, staff will also be reviewing placement and access to Gifted programs. For September 2019, bussing will continue for Gifted students in Grades 4-8.</w:t>
            </w:r>
          </w:p>
          <w:p w:rsidR="007028AF" w:rsidRPr="00F85541" w:rsidRDefault="007028AF" w:rsidP="00CD7359">
            <w:pPr>
              <w:pStyle w:val="ListParagraph"/>
            </w:pPr>
            <w:r w:rsidRPr="00F85541">
              <w:t xml:space="preserve">For the Gifted program, staff propose that the 2019 budget be approved with the elimination of TTC tokens for students in the Gifted program for grades 9-12. </w:t>
            </w:r>
          </w:p>
          <w:p w:rsidR="00F85541" w:rsidRDefault="00335DBC" w:rsidP="00CD7359">
            <w:pPr>
              <w:pStyle w:val="ListParagraph"/>
            </w:pPr>
            <w:r>
              <w:t xml:space="preserve">Elimination of TTC tickets for elementary Gifted and French in Grades 6-8 in Year </w:t>
            </w:r>
            <w:r w:rsidR="00F14DBA">
              <w:t>2</w:t>
            </w:r>
            <w:r>
              <w:t>.</w:t>
            </w:r>
          </w:p>
          <w:p w:rsidR="007028AF" w:rsidRDefault="007028AF" w:rsidP="00CD7359">
            <w:pPr>
              <w:pStyle w:val="ListParagraph"/>
            </w:pPr>
            <w:r w:rsidRPr="00F85541">
              <w:t xml:space="preserve">Staff recommend </w:t>
            </w:r>
            <w:r w:rsidR="00F85541">
              <w:t>a service reduction of bussing for Gifted Grade</w:t>
            </w:r>
            <w:r w:rsidR="007631BF">
              <w:t>s</w:t>
            </w:r>
            <w:r w:rsidR="00F85541">
              <w:t xml:space="preserve"> 4-5 and French Immersion JK-6 based on revised LOI, distance and distribution of programs for savings of </w:t>
            </w:r>
            <w:r w:rsidR="007631BF">
              <w:t>$</w:t>
            </w:r>
            <w:r w:rsidR="00F85541">
              <w:t>1.5M.</w:t>
            </w:r>
          </w:p>
          <w:p w:rsidR="00335DBC" w:rsidRPr="00F85541" w:rsidRDefault="00335DBC" w:rsidP="00CD7359">
            <w:pPr>
              <w:pStyle w:val="ListParagraph"/>
            </w:pPr>
            <w:r>
              <w:t xml:space="preserve">Adjust bell times at schools to </w:t>
            </w:r>
            <w:r w:rsidR="00FC0D59">
              <w:t xml:space="preserve">improve </w:t>
            </w:r>
            <w:r>
              <w:t>efficienc</w:t>
            </w:r>
            <w:r w:rsidR="00FC0D59">
              <w:t>y of routes in Y</w:t>
            </w:r>
            <w:r>
              <w:t xml:space="preserve">ear </w:t>
            </w:r>
            <w:r w:rsidR="00F14DBA">
              <w:t>2</w:t>
            </w:r>
            <w:r w:rsidR="00FC0D59">
              <w:t xml:space="preserve"> </w:t>
            </w:r>
            <w:r>
              <w:t xml:space="preserve">amounting to </w:t>
            </w:r>
            <w:r w:rsidR="00FC0D59">
              <w:t>$</w:t>
            </w:r>
            <w:r>
              <w:t>2.5M.  This option requires the system to adjust bell times at schools to allow for the most efficient routing of busses which will reduce the number of busses on the road.  This may impact childcare arrangements based on new pick</w:t>
            </w:r>
            <w:r w:rsidR="00FC0D59">
              <w:t>-up and drop-</w:t>
            </w:r>
            <w:r>
              <w:t>off times.</w:t>
            </w:r>
          </w:p>
          <w:p w:rsidR="007028AF" w:rsidRPr="00335DBC" w:rsidRDefault="007028AF" w:rsidP="007028AF">
            <w:pPr>
              <w:rPr>
                <w:color w:val="000000" w:themeColor="text1"/>
              </w:rPr>
            </w:pPr>
            <w:r w:rsidRPr="00F85541">
              <w:rPr>
                <w:color w:val="000000" w:themeColor="text1"/>
              </w:rPr>
              <w:t xml:space="preserve">Under the Board’s equity commitment and equity fund, schools will continue to provide TTC fare to students whose families are challenged to meet transportation costs as a result of the proposed change of service.  </w:t>
            </w:r>
          </w:p>
        </w:tc>
        <w:tc>
          <w:tcPr>
            <w:tcW w:w="1890" w:type="dxa"/>
            <w:shd w:val="clear" w:color="auto" w:fill="F2F2F2" w:themeFill="background1" w:themeFillShade="F2"/>
          </w:tcPr>
          <w:p w:rsidR="007028AF" w:rsidRPr="00F85541" w:rsidRDefault="007028AF" w:rsidP="007028AF">
            <w:pPr>
              <w:rPr>
                <w:rFonts w:cstheme="minorHAnsi"/>
                <w:color w:val="000000" w:themeColor="text1"/>
              </w:rPr>
            </w:pPr>
            <w:r w:rsidRPr="00F85541">
              <w:rPr>
                <w:rFonts w:cstheme="minorHAnsi"/>
                <w:color w:val="000000" w:themeColor="text1"/>
              </w:rPr>
              <w:t>Differentiated Approaches to Serve Our Students</w:t>
            </w:r>
          </w:p>
        </w:tc>
        <w:tc>
          <w:tcPr>
            <w:tcW w:w="1710" w:type="dxa"/>
            <w:shd w:val="clear" w:color="auto" w:fill="F2F2F2" w:themeFill="background1" w:themeFillShade="F2"/>
          </w:tcPr>
          <w:p w:rsidR="007028AF" w:rsidRPr="00F85541" w:rsidRDefault="007028AF" w:rsidP="007028AF">
            <w:pPr>
              <w:rPr>
                <w:rFonts w:cstheme="minorHAnsi"/>
                <w:b/>
                <w:color w:val="000000" w:themeColor="text1"/>
              </w:rPr>
            </w:pPr>
            <w:r w:rsidRPr="00F85541">
              <w:rPr>
                <w:rFonts w:cstheme="minorHAnsi"/>
                <w:b/>
                <w:color w:val="000000" w:themeColor="text1"/>
              </w:rPr>
              <w:t xml:space="preserve">$1.3 million </w:t>
            </w:r>
          </w:p>
          <w:p w:rsidR="007028AF" w:rsidRPr="00F85541" w:rsidRDefault="007028AF" w:rsidP="007028AF">
            <w:pPr>
              <w:rPr>
                <w:rFonts w:cstheme="minorHAnsi"/>
                <w:b/>
                <w:color w:val="000000" w:themeColor="text1"/>
              </w:rPr>
            </w:pPr>
            <w:r w:rsidRPr="00F85541">
              <w:rPr>
                <w:rFonts w:cstheme="minorHAnsi"/>
                <w:b/>
                <w:color w:val="000000" w:themeColor="text1"/>
              </w:rPr>
              <w:t>(Eliminating TTC tokens for secondary FI/EXTF and Gifted students)</w:t>
            </w:r>
          </w:p>
        </w:tc>
        <w:tc>
          <w:tcPr>
            <w:tcW w:w="1710" w:type="dxa"/>
            <w:shd w:val="clear" w:color="auto" w:fill="F2F2F2" w:themeFill="background1" w:themeFillShade="F2"/>
          </w:tcPr>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F326F6" w:rsidRDefault="00F326F6" w:rsidP="00F85541">
            <w:pPr>
              <w:rPr>
                <w:rFonts w:cstheme="minorHAnsi"/>
                <w:b/>
                <w:color w:val="000000" w:themeColor="text1"/>
              </w:rPr>
            </w:pPr>
          </w:p>
          <w:p w:rsidR="00C3253F" w:rsidRDefault="00C3253F" w:rsidP="00F85541">
            <w:pPr>
              <w:rPr>
                <w:rFonts w:cstheme="minorHAnsi"/>
                <w:b/>
                <w:color w:val="000000" w:themeColor="text1"/>
              </w:rPr>
            </w:pPr>
          </w:p>
          <w:p w:rsidR="00C3253F" w:rsidRDefault="00C3253F" w:rsidP="00F85541">
            <w:pPr>
              <w:rPr>
                <w:rFonts w:cstheme="minorHAnsi"/>
                <w:b/>
                <w:color w:val="000000" w:themeColor="text1"/>
              </w:rPr>
            </w:pPr>
          </w:p>
          <w:p w:rsidR="00C3253F" w:rsidRDefault="00C3253F" w:rsidP="00F85541">
            <w:pPr>
              <w:rPr>
                <w:rFonts w:cstheme="minorHAnsi"/>
                <w:b/>
                <w:color w:val="000000" w:themeColor="text1"/>
              </w:rPr>
            </w:pPr>
          </w:p>
          <w:p w:rsidR="00C3253F" w:rsidRDefault="00C3253F" w:rsidP="00F85541">
            <w:pPr>
              <w:rPr>
                <w:rFonts w:cstheme="minorHAnsi"/>
                <w:b/>
                <w:color w:val="000000" w:themeColor="text1"/>
              </w:rPr>
            </w:pPr>
          </w:p>
          <w:p w:rsidR="00F326F6" w:rsidRDefault="00F326F6" w:rsidP="005F09AA">
            <w:pPr>
              <w:spacing w:before="720"/>
              <w:rPr>
                <w:rFonts w:cstheme="minorHAnsi"/>
                <w:b/>
                <w:color w:val="000000" w:themeColor="text1"/>
              </w:rPr>
            </w:pPr>
            <w:r>
              <w:rPr>
                <w:rFonts w:cstheme="minorHAnsi"/>
                <w:b/>
                <w:color w:val="000000" w:themeColor="text1"/>
              </w:rPr>
              <w:t>$0.4 million</w:t>
            </w:r>
          </w:p>
          <w:p w:rsidR="00A35C7F" w:rsidRDefault="00F326F6" w:rsidP="00623A06">
            <w:pPr>
              <w:spacing w:before="360"/>
              <w:rPr>
                <w:rFonts w:cstheme="minorHAnsi"/>
                <w:b/>
                <w:color w:val="000000" w:themeColor="text1"/>
              </w:rPr>
            </w:pPr>
            <w:r>
              <w:rPr>
                <w:rFonts w:cstheme="minorHAnsi"/>
                <w:b/>
                <w:color w:val="000000" w:themeColor="text1"/>
              </w:rPr>
              <w:t>$1.5 million</w:t>
            </w:r>
          </w:p>
          <w:p w:rsidR="00A35C7F" w:rsidRDefault="00A35C7F" w:rsidP="00A35C7F">
            <w:pPr>
              <w:spacing w:before="240"/>
              <w:rPr>
                <w:rFonts w:cstheme="minorHAnsi"/>
                <w:b/>
                <w:color w:val="000000" w:themeColor="text1"/>
              </w:rPr>
            </w:pPr>
          </w:p>
          <w:p w:rsidR="00F326F6" w:rsidRPr="00F85541" w:rsidRDefault="00F326F6" w:rsidP="00A35C7F">
            <w:pPr>
              <w:spacing w:before="360"/>
              <w:rPr>
                <w:rFonts w:cstheme="minorHAnsi"/>
                <w:b/>
                <w:color w:val="000000" w:themeColor="text1"/>
              </w:rPr>
            </w:pPr>
            <w:r>
              <w:rPr>
                <w:rFonts w:cstheme="minorHAnsi"/>
                <w:b/>
                <w:color w:val="000000" w:themeColor="text1"/>
              </w:rPr>
              <w:t>$2.5 million</w:t>
            </w:r>
          </w:p>
        </w:tc>
      </w:tr>
      <w:tr w:rsidR="003C51A0" w:rsidTr="00CF0412">
        <w:tc>
          <w:tcPr>
            <w:tcW w:w="2332" w:type="dxa"/>
            <w:shd w:val="clear" w:color="auto" w:fill="F2F2F2" w:themeFill="background1" w:themeFillShade="F2"/>
          </w:tcPr>
          <w:p w:rsidR="003C51A0" w:rsidRPr="00335DBC" w:rsidRDefault="003C51A0" w:rsidP="003C51A0">
            <w:pPr>
              <w:rPr>
                <w:rFonts w:cs="Arial"/>
                <w:b/>
                <w:color w:val="000000" w:themeColor="text1"/>
                <w:szCs w:val="24"/>
              </w:rPr>
            </w:pPr>
            <w:r w:rsidRPr="00335DBC">
              <w:rPr>
                <w:rFonts w:cs="Arial"/>
                <w:b/>
                <w:color w:val="000000" w:themeColor="text1"/>
                <w:szCs w:val="24"/>
              </w:rPr>
              <w:t>Professional Development</w:t>
            </w:r>
          </w:p>
        </w:tc>
        <w:tc>
          <w:tcPr>
            <w:tcW w:w="5768" w:type="dxa"/>
            <w:shd w:val="clear" w:color="auto" w:fill="F2F2F2" w:themeFill="background1" w:themeFillShade="F2"/>
          </w:tcPr>
          <w:p w:rsidR="003C51A0" w:rsidRPr="00335DBC" w:rsidRDefault="003C51A0" w:rsidP="00F14DBA">
            <w:pPr>
              <w:pStyle w:val="PlainText"/>
              <w:rPr>
                <w:rFonts w:ascii="Arial" w:hAnsi="Arial" w:cs="Arial"/>
                <w:color w:val="000000" w:themeColor="text1"/>
                <w:sz w:val="24"/>
                <w:szCs w:val="24"/>
              </w:rPr>
            </w:pPr>
            <w:r w:rsidRPr="00335DBC">
              <w:rPr>
                <w:rFonts w:ascii="Arial" w:hAnsi="Arial" w:cs="Arial"/>
                <w:color w:val="000000" w:themeColor="text1"/>
                <w:sz w:val="24"/>
                <w:szCs w:val="24"/>
              </w:rPr>
              <w:t xml:space="preserve">The reduction of central professional development for </w:t>
            </w:r>
            <w:r w:rsidR="00F14DBA">
              <w:rPr>
                <w:rFonts w:ascii="Arial" w:hAnsi="Arial" w:cs="Arial"/>
                <w:color w:val="000000" w:themeColor="text1"/>
                <w:sz w:val="24"/>
                <w:szCs w:val="24"/>
              </w:rPr>
              <w:t xml:space="preserve">one </w:t>
            </w:r>
            <w:r w:rsidRPr="00335DBC">
              <w:rPr>
                <w:rFonts w:ascii="Arial" w:hAnsi="Arial" w:cs="Arial"/>
                <w:color w:val="000000" w:themeColor="text1"/>
                <w:sz w:val="24"/>
                <w:szCs w:val="24"/>
              </w:rPr>
              <w:t xml:space="preserve">year. </w:t>
            </w:r>
          </w:p>
        </w:tc>
        <w:tc>
          <w:tcPr>
            <w:tcW w:w="1890" w:type="dxa"/>
            <w:shd w:val="clear" w:color="auto" w:fill="F2F2F2" w:themeFill="background1" w:themeFillShade="F2"/>
          </w:tcPr>
          <w:p w:rsidR="00F14DBA" w:rsidRPr="005F09AA" w:rsidRDefault="003C51A0" w:rsidP="003C51A0">
            <w:pPr>
              <w:rPr>
                <w:rFonts w:cs="Arial"/>
                <w:color w:val="000000" w:themeColor="text1"/>
                <w:szCs w:val="24"/>
              </w:rPr>
            </w:pPr>
            <w:r w:rsidRPr="00623A06">
              <w:rPr>
                <w:rFonts w:cs="Arial"/>
                <w:color w:val="000000" w:themeColor="text1"/>
                <w:sz w:val="22"/>
                <w:szCs w:val="24"/>
              </w:rPr>
              <w:t>Allocate Human and Financial Resources Strategically to Support Student Needs</w:t>
            </w:r>
          </w:p>
        </w:tc>
        <w:tc>
          <w:tcPr>
            <w:tcW w:w="1710" w:type="dxa"/>
            <w:shd w:val="clear" w:color="auto" w:fill="F2F2F2" w:themeFill="background1" w:themeFillShade="F2"/>
          </w:tcPr>
          <w:p w:rsidR="003C51A0" w:rsidRPr="00335DBC" w:rsidRDefault="003C51A0" w:rsidP="003C51A0">
            <w:pPr>
              <w:rPr>
                <w:rFonts w:cs="Arial"/>
                <w:b/>
                <w:color w:val="000000" w:themeColor="text1"/>
                <w:szCs w:val="24"/>
              </w:rPr>
            </w:pPr>
            <w:r w:rsidRPr="00335DBC">
              <w:rPr>
                <w:rFonts w:cs="Arial"/>
                <w:b/>
                <w:color w:val="000000" w:themeColor="text1"/>
                <w:szCs w:val="24"/>
              </w:rPr>
              <w:t>$2.5 million</w:t>
            </w:r>
          </w:p>
        </w:tc>
        <w:tc>
          <w:tcPr>
            <w:tcW w:w="1710" w:type="dxa"/>
            <w:shd w:val="clear" w:color="auto" w:fill="F2F2F2" w:themeFill="background1" w:themeFillShade="F2"/>
          </w:tcPr>
          <w:p w:rsidR="003C51A0" w:rsidRPr="00335DBC" w:rsidRDefault="003C51A0" w:rsidP="003C51A0">
            <w:pPr>
              <w:rPr>
                <w:rFonts w:cs="Arial"/>
                <w:b/>
                <w:color w:val="000000" w:themeColor="text1"/>
                <w:szCs w:val="24"/>
              </w:rPr>
            </w:pPr>
            <w:r w:rsidRPr="00335DBC">
              <w:rPr>
                <w:rFonts w:cs="Arial"/>
                <w:b/>
                <w:color w:val="000000" w:themeColor="text1"/>
                <w:szCs w:val="24"/>
              </w:rPr>
              <w:t>($2.5) million</w:t>
            </w:r>
          </w:p>
        </w:tc>
      </w:tr>
      <w:tr w:rsidR="003C51A0" w:rsidTr="00CF0412">
        <w:tc>
          <w:tcPr>
            <w:tcW w:w="2332" w:type="dxa"/>
            <w:shd w:val="clear" w:color="auto" w:fill="F2F2F2" w:themeFill="background1" w:themeFillShade="F2"/>
          </w:tcPr>
          <w:p w:rsidR="003C51A0" w:rsidRPr="00335DBC" w:rsidRDefault="003C51A0" w:rsidP="003C51A0">
            <w:pPr>
              <w:rPr>
                <w:rFonts w:cs="Arial"/>
                <w:b/>
                <w:color w:val="000000" w:themeColor="text1"/>
                <w:szCs w:val="24"/>
              </w:rPr>
            </w:pPr>
            <w:r w:rsidRPr="00335DBC">
              <w:rPr>
                <w:rFonts w:cs="Arial"/>
                <w:b/>
                <w:color w:val="000000" w:themeColor="text1"/>
                <w:szCs w:val="24"/>
              </w:rPr>
              <w:t>Supply Teacher Costs</w:t>
            </w:r>
          </w:p>
        </w:tc>
        <w:tc>
          <w:tcPr>
            <w:tcW w:w="5768" w:type="dxa"/>
            <w:shd w:val="clear" w:color="auto" w:fill="F2F2F2" w:themeFill="background1" w:themeFillShade="F2"/>
          </w:tcPr>
          <w:p w:rsidR="003C51A0" w:rsidRPr="00335DBC" w:rsidRDefault="003C51A0" w:rsidP="003C51A0">
            <w:pPr>
              <w:pStyle w:val="PlainText"/>
              <w:rPr>
                <w:rFonts w:ascii="Arial" w:hAnsi="Arial" w:cs="Arial"/>
                <w:color w:val="000000" w:themeColor="text1"/>
                <w:sz w:val="24"/>
                <w:szCs w:val="24"/>
              </w:rPr>
            </w:pPr>
            <w:r w:rsidRPr="00335DBC">
              <w:rPr>
                <w:rFonts w:ascii="Arial" w:hAnsi="Arial" w:cs="Arial"/>
                <w:color w:val="000000" w:themeColor="text1"/>
                <w:sz w:val="24"/>
                <w:szCs w:val="24"/>
              </w:rPr>
              <w:t xml:space="preserve">The reduction represents the new class sizes in the secondary panel. With the reduction of secondary teachers there will be a corresponding reduction in supply costs required for these teachers. </w:t>
            </w:r>
          </w:p>
        </w:tc>
        <w:tc>
          <w:tcPr>
            <w:tcW w:w="1890" w:type="dxa"/>
            <w:shd w:val="clear" w:color="auto" w:fill="F2F2F2" w:themeFill="background1" w:themeFillShade="F2"/>
          </w:tcPr>
          <w:p w:rsidR="005F09AA" w:rsidRPr="005F09AA" w:rsidRDefault="003C51A0" w:rsidP="003C51A0">
            <w:pPr>
              <w:rPr>
                <w:rFonts w:cs="Arial"/>
                <w:color w:val="000000" w:themeColor="text1"/>
                <w:szCs w:val="24"/>
              </w:rPr>
            </w:pPr>
            <w:r w:rsidRPr="005F09AA">
              <w:rPr>
                <w:rFonts w:cs="Arial"/>
                <w:color w:val="000000" w:themeColor="text1"/>
                <w:szCs w:val="24"/>
              </w:rPr>
              <w:t>Allocate Human and Financial Resources Strategically to Support Student Needs</w:t>
            </w:r>
          </w:p>
        </w:tc>
        <w:tc>
          <w:tcPr>
            <w:tcW w:w="1710" w:type="dxa"/>
            <w:shd w:val="clear" w:color="auto" w:fill="F2F2F2" w:themeFill="background1" w:themeFillShade="F2"/>
          </w:tcPr>
          <w:p w:rsidR="003C51A0" w:rsidRPr="00335DBC" w:rsidRDefault="003C51A0" w:rsidP="003C51A0">
            <w:pPr>
              <w:rPr>
                <w:rFonts w:cs="Arial"/>
                <w:b/>
                <w:color w:val="000000" w:themeColor="text1"/>
                <w:szCs w:val="24"/>
              </w:rPr>
            </w:pPr>
            <w:r w:rsidRPr="00335DBC">
              <w:rPr>
                <w:rFonts w:cs="Arial"/>
                <w:b/>
                <w:color w:val="000000" w:themeColor="text1"/>
                <w:szCs w:val="24"/>
              </w:rPr>
              <w:t>$1.5 million</w:t>
            </w:r>
          </w:p>
        </w:tc>
        <w:tc>
          <w:tcPr>
            <w:tcW w:w="1710" w:type="dxa"/>
            <w:shd w:val="clear" w:color="auto" w:fill="F2F2F2" w:themeFill="background1" w:themeFillShade="F2"/>
          </w:tcPr>
          <w:p w:rsidR="003C51A0" w:rsidRPr="00335DBC" w:rsidRDefault="003C51A0" w:rsidP="003C51A0">
            <w:pPr>
              <w:rPr>
                <w:rFonts w:cs="Arial"/>
                <w:b/>
                <w:color w:val="000000" w:themeColor="text1"/>
                <w:szCs w:val="24"/>
              </w:rPr>
            </w:pPr>
          </w:p>
        </w:tc>
      </w:tr>
      <w:tr w:rsidR="00335DBC" w:rsidTr="00CF0412">
        <w:tc>
          <w:tcPr>
            <w:tcW w:w="2332" w:type="dxa"/>
            <w:shd w:val="clear" w:color="auto" w:fill="F2F2F2" w:themeFill="background1" w:themeFillShade="F2"/>
          </w:tcPr>
          <w:p w:rsidR="00335DBC" w:rsidRPr="00335DBC" w:rsidRDefault="00335DBC" w:rsidP="003C51A0">
            <w:pPr>
              <w:rPr>
                <w:rFonts w:cs="Arial"/>
                <w:b/>
                <w:color w:val="000000" w:themeColor="text1"/>
                <w:szCs w:val="24"/>
              </w:rPr>
            </w:pPr>
            <w:r>
              <w:rPr>
                <w:rFonts w:cs="Arial"/>
                <w:b/>
                <w:color w:val="000000" w:themeColor="text1"/>
                <w:szCs w:val="24"/>
              </w:rPr>
              <w:t>Lunchroom Supervisors</w:t>
            </w:r>
          </w:p>
        </w:tc>
        <w:tc>
          <w:tcPr>
            <w:tcW w:w="5768" w:type="dxa"/>
            <w:tcBorders>
              <w:bottom w:val="single" w:sz="4" w:space="0" w:color="auto"/>
            </w:tcBorders>
            <w:shd w:val="clear" w:color="auto" w:fill="F2F2F2" w:themeFill="background1" w:themeFillShade="F2"/>
          </w:tcPr>
          <w:p w:rsidR="00335DBC" w:rsidRPr="00335DBC" w:rsidRDefault="00335DBC" w:rsidP="00F14DBA">
            <w:pPr>
              <w:pStyle w:val="PlainText"/>
              <w:rPr>
                <w:rFonts w:ascii="Arial" w:hAnsi="Arial" w:cs="Arial"/>
                <w:color w:val="000000" w:themeColor="text1"/>
                <w:sz w:val="24"/>
                <w:szCs w:val="24"/>
              </w:rPr>
            </w:pPr>
            <w:r>
              <w:rPr>
                <w:rFonts w:ascii="Arial" w:hAnsi="Arial" w:cs="Arial"/>
                <w:color w:val="000000" w:themeColor="text1"/>
                <w:sz w:val="24"/>
                <w:szCs w:val="24"/>
              </w:rPr>
              <w:t xml:space="preserve">Reduction of lunchroom supervisors by approximately 296 or 11.5% in Year </w:t>
            </w:r>
            <w:r w:rsidR="00F14DBA">
              <w:rPr>
                <w:rFonts w:ascii="Arial" w:hAnsi="Arial" w:cs="Arial"/>
                <w:color w:val="000000" w:themeColor="text1"/>
                <w:sz w:val="24"/>
                <w:szCs w:val="24"/>
              </w:rPr>
              <w:t>2</w:t>
            </w:r>
            <w:r>
              <w:rPr>
                <w:rFonts w:ascii="Arial" w:hAnsi="Arial" w:cs="Arial"/>
                <w:color w:val="000000" w:themeColor="text1"/>
                <w:sz w:val="24"/>
                <w:szCs w:val="24"/>
              </w:rPr>
              <w:t>.</w:t>
            </w:r>
          </w:p>
        </w:tc>
        <w:tc>
          <w:tcPr>
            <w:tcW w:w="1890" w:type="dxa"/>
            <w:shd w:val="clear" w:color="auto" w:fill="F2F2F2" w:themeFill="background1" w:themeFillShade="F2"/>
          </w:tcPr>
          <w:p w:rsidR="00335DBC" w:rsidRPr="005F09AA" w:rsidRDefault="0082616B" w:rsidP="003C51A0">
            <w:pPr>
              <w:rPr>
                <w:rFonts w:cs="Arial"/>
                <w:color w:val="000000" w:themeColor="text1"/>
                <w:szCs w:val="24"/>
              </w:rPr>
            </w:pPr>
            <w:r w:rsidRPr="005F09AA">
              <w:rPr>
                <w:rFonts w:cs="Arial"/>
                <w:color w:val="000000" w:themeColor="text1"/>
                <w:szCs w:val="24"/>
              </w:rPr>
              <w:t>Allocate Human and Financial Resources Strategically to Support Student Needs</w:t>
            </w:r>
          </w:p>
        </w:tc>
        <w:tc>
          <w:tcPr>
            <w:tcW w:w="1710" w:type="dxa"/>
            <w:shd w:val="clear" w:color="auto" w:fill="F2F2F2" w:themeFill="background1" w:themeFillShade="F2"/>
          </w:tcPr>
          <w:p w:rsidR="00335DBC" w:rsidRPr="00335DBC" w:rsidRDefault="00335DBC" w:rsidP="003C51A0">
            <w:pPr>
              <w:rPr>
                <w:rFonts w:cs="Arial"/>
                <w:b/>
                <w:color w:val="000000" w:themeColor="text1"/>
                <w:szCs w:val="24"/>
              </w:rPr>
            </w:pPr>
          </w:p>
        </w:tc>
        <w:tc>
          <w:tcPr>
            <w:tcW w:w="1710" w:type="dxa"/>
            <w:shd w:val="clear" w:color="auto" w:fill="F2F2F2" w:themeFill="background1" w:themeFillShade="F2"/>
          </w:tcPr>
          <w:p w:rsidR="00335DBC" w:rsidRPr="00335DBC" w:rsidRDefault="00335DBC" w:rsidP="003C51A0">
            <w:pPr>
              <w:rPr>
                <w:rFonts w:cs="Arial"/>
                <w:b/>
                <w:color w:val="000000" w:themeColor="text1"/>
                <w:szCs w:val="24"/>
              </w:rPr>
            </w:pPr>
            <w:r>
              <w:rPr>
                <w:rFonts w:cs="Arial"/>
                <w:b/>
                <w:color w:val="000000" w:themeColor="text1"/>
                <w:szCs w:val="24"/>
              </w:rPr>
              <w:t>$2.0 million</w:t>
            </w:r>
          </w:p>
        </w:tc>
      </w:tr>
      <w:tr w:rsidR="00BF0DC9" w:rsidRPr="00BF0DC9" w:rsidTr="00CF0412">
        <w:tc>
          <w:tcPr>
            <w:tcW w:w="2332" w:type="dxa"/>
            <w:tcBorders>
              <w:right w:val="nil"/>
            </w:tcBorders>
            <w:shd w:val="clear" w:color="auto" w:fill="F2F2F2" w:themeFill="background1" w:themeFillShade="F2"/>
          </w:tcPr>
          <w:p w:rsidR="003C51A0" w:rsidRPr="00BF0DC9" w:rsidRDefault="003C51A0" w:rsidP="003C51A0">
            <w:pPr>
              <w:rPr>
                <w:rFonts w:cs="Arial"/>
                <w:b/>
                <w:color w:val="000000" w:themeColor="text1"/>
                <w:szCs w:val="24"/>
              </w:rPr>
            </w:pPr>
            <w:r w:rsidRPr="00BF0DC9">
              <w:rPr>
                <w:rFonts w:cs="Arial"/>
                <w:b/>
                <w:color w:val="000000" w:themeColor="text1"/>
                <w:szCs w:val="24"/>
              </w:rPr>
              <w:t>Totals</w:t>
            </w:r>
          </w:p>
        </w:tc>
        <w:tc>
          <w:tcPr>
            <w:tcW w:w="5768" w:type="dxa"/>
            <w:tcBorders>
              <w:left w:val="nil"/>
              <w:right w:val="nil"/>
            </w:tcBorders>
            <w:shd w:val="clear" w:color="auto" w:fill="F2F2F2" w:themeFill="background1" w:themeFillShade="F2"/>
          </w:tcPr>
          <w:p w:rsidR="003C51A0" w:rsidRPr="00BF0DC9" w:rsidRDefault="003C51A0" w:rsidP="003C51A0">
            <w:pPr>
              <w:pStyle w:val="PlainText"/>
              <w:rPr>
                <w:rFonts w:ascii="Arial" w:hAnsi="Arial" w:cs="Arial"/>
                <w:color w:val="000000" w:themeColor="text1"/>
                <w:sz w:val="24"/>
                <w:szCs w:val="24"/>
              </w:rPr>
            </w:pPr>
          </w:p>
        </w:tc>
        <w:tc>
          <w:tcPr>
            <w:tcW w:w="1890" w:type="dxa"/>
            <w:tcBorders>
              <w:left w:val="nil"/>
            </w:tcBorders>
            <w:shd w:val="clear" w:color="auto" w:fill="F2F2F2" w:themeFill="background1" w:themeFillShade="F2"/>
          </w:tcPr>
          <w:p w:rsidR="003C51A0" w:rsidRPr="00BF0DC9" w:rsidRDefault="003C51A0" w:rsidP="003C51A0">
            <w:pPr>
              <w:rPr>
                <w:rFonts w:cs="Arial"/>
                <w:color w:val="000000" w:themeColor="text1"/>
                <w:szCs w:val="24"/>
              </w:rPr>
            </w:pPr>
          </w:p>
        </w:tc>
        <w:tc>
          <w:tcPr>
            <w:tcW w:w="1710" w:type="dxa"/>
            <w:shd w:val="clear" w:color="auto" w:fill="F2F2F2" w:themeFill="background1" w:themeFillShade="F2"/>
          </w:tcPr>
          <w:p w:rsidR="003C51A0" w:rsidRPr="00866F7D" w:rsidRDefault="003C51A0" w:rsidP="007C3642">
            <w:pPr>
              <w:rPr>
                <w:rFonts w:cs="Arial"/>
                <w:b/>
                <w:color w:val="000000" w:themeColor="text1"/>
                <w:sz w:val="22"/>
                <w:szCs w:val="24"/>
              </w:rPr>
            </w:pPr>
            <w:r w:rsidRPr="00866F7D">
              <w:rPr>
                <w:rFonts w:cs="Arial"/>
                <w:b/>
                <w:color w:val="000000" w:themeColor="text1"/>
                <w:sz w:val="22"/>
                <w:szCs w:val="24"/>
              </w:rPr>
              <w:t>$</w:t>
            </w:r>
            <w:r w:rsidR="007C3642">
              <w:rPr>
                <w:rFonts w:cs="Arial"/>
                <w:b/>
                <w:color w:val="000000" w:themeColor="text1"/>
                <w:sz w:val="22"/>
                <w:szCs w:val="24"/>
              </w:rPr>
              <w:t xml:space="preserve">46.8 </w:t>
            </w:r>
            <w:r w:rsidR="00866F7D" w:rsidRPr="00866F7D">
              <w:rPr>
                <w:rFonts w:cs="Arial"/>
                <w:b/>
                <w:color w:val="000000" w:themeColor="text1"/>
                <w:sz w:val="22"/>
                <w:szCs w:val="24"/>
              </w:rPr>
              <w:t>million</w:t>
            </w:r>
          </w:p>
        </w:tc>
        <w:tc>
          <w:tcPr>
            <w:tcW w:w="1710" w:type="dxa"/>
            <w:shd w:val="clear" w:color="auto" w:fill="F2F2F2" w:themeFill="background1" w:themeFillShade="F2"/>
          </w:tcPr>
          <w:p w:rsidR="003C51A0" w:rsidRPr="00866F7D" w:rsidRDefault="00851C16" w:rsidP="00520327">
            <w:pPr>
              <w:rPr>
                <w:rFonts w:cs="Arial"/>
                <w:b/>
                <w:color w:val="000000" w:themeColor="text1"/>
                <w:sz w:val="22"/>
                <w:szCs w:val="24"/>
              </w:rPr>
            </w:pPr>
            <w:r w:rsidRPr="00866F7D">
              <w:rPr>
                <w:rFonts w:cs="Arial"/>
                <w:b/>
                <w:color w:val="000000" w:themeColor="text1"/>
                <w:sz w:val="22"/>
                <w:szCs w:val="24"/>
              </w:rPr>
              <w:t>$</w:t>
            </w:r>
            <w:r w:rsidR="00520327">
              <w:rPr>
                <w:rFonts w:cs="Arial"/>
                <w:b/>
                <w:color w:val="000000" w:themeColor="text1"/>
                <w:sz w:val="22"/>
                <w:szCs w:val="24"/>
              </w:rPr>
              <w:t xml:space="preserve">21.0 </w:t>
            </w:r>
            <w:r w:rsidRPr="00866F7D">
              <w:rPr>
                <w:rFonts w:cs="Arial"/>
                <w:b/>
                <w:color w:val="000000" w:themeColor="text1"/>
                <w:sz w:val="22"/>
                <w:szCs w:val="24"/>
              </w:rPr>
              <w:t>million</w:t>
            </w:r>
          </w:p>
        </w:tc>
      </w:tr>
    </w:tbl>
    <w:p w:rsidR="00866F7D" w:rsidRDefault="00851C16" w:rsidP="008301D7">
      <w:pPr>
        <w:tabs>
          <w:tab w:val="left" w:pos="11520"/>
        </w:tabs>
        <w:spacing w:before="240" w:after="0"/>
        <w:rPr>
          <w:b/>
          <w:color w:val="000000" w:themeColor="text1"/>
        </w:rPr>
      </w:pPr>
      <w:r w:rsidRPr="00BF0DC9">
        <w:rPr>
          <w:b/>
          <w:color w:val="000000" w:themeColor="text1"/>
        </w:rPr>
        <w:t>Total Savings or Revenue Generated (Year 1 and Year 2)</w:t>
      </w:r>
      <w:r w:rsidR="00866F7D">
        <w:rPr>
          <w:b/>
          <w:color w:val="000000" w:themeColor="text1"/>
        </w:rPr>
        <w:tab/>
        <w:t xml:space="preserve">  </w:t>
      </w:r>
      <w:r w:rsidR="008301D7">
        <w:rPr>
          <w:b/>
          <w:color w:val="000000" w:themeColor="text1"/>
        </w:rPr>
        <w:t xml:space="preserve">  </w:t>
      </w:r>
      <w:r w:rsidR="00866F7D">
        <w:rPr>
          <w:b/>
          <w:color w:val="000000" w:themeColor="text1"/>
        </w:rPr>
        <w:t>$</w:t>
      </w:r>
      <w:r w:rsidR="00520327">
        <w:rPr>
          <w:b/>
          <w:color w:val="000000" w:themeColor="text1"/>
        </w:rPr>
        <w:t>67.8</w:t>
      </w:r>
    </w:p>
    <w:p w:rsidR="00851C16" w:rsidRPr="00BF0DC9" w:rsidRDefault="00866F7D" w:rsidP="00866F7D">
      <w:pPr>
        <w:tabs>
          <w:tab w:val="left" w:pos="11520"/>
        </w:tabs>
        <w:spacing w:before="0"/>
        <w:rPr>
          <w:b/>
          <w:color w:val="000000" w:themeColor="text1"/>
        </w:rPr>
      </w:pPr>
      <w:r>
        <w:rPr>
          <w:b/>
          <w:color w:val="000000" w:themeColor="text1"/>
        </w:rPr>
        <w:tab/>
        <w:t xml:space="preserve">  </w:t>
      </w:r>
      <w:r w:rsidR="008301D7">
        <w:rPr>
          <w:b/>
          <w:color w:val="000000" w:themeColor="text1"/>
        </w:rPr>
        <w:t xml:space="preserve">  </w:t>
      </w:r>
      <w:r w:rsidR="00BF0DC9" w:rsidRPr="00BF0DC9">
        <w:rPr>
          <w:b/>
          <w:color w:val="000000" w:themeColor="text1"/>
        </w:rPr>
        <w:t>million</w:t>
      </w:r>
    </w:p>
    <w:sectPr w:rsidR="00851C16" w:rsidRPr="00BF0DC9" w:rsidSect="00175A99">
      <w:footerReference w:type="default" r:id="rId9"/>
      <w:pgSz w:w="15840" w:h="1224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D07" w:rsidRDefault="00BF7D07" w:rsidP="004441A7">
      <w:pPr>
        <w:spacing w:before="0" w:after="0" w:line="240" w:lineRule="auto"/>
      </w:pPr>
      <w:r>
        <w:separator/>
      </w:r>
    </w:p>
  </w:endnote>
  <w:endnote w:type="continuationSeparator" w:id="0">
    <w:p w:rsidR="00BF7D07" w:rsidRDefault="00BF7D07" w:rsidP="0044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037196"/>
      <w:docPartObj>
        <w:docPartGallery w:val="Page Numbers (Bottom of Page)"/>
        <w:docPartUnique/>
      </w:docPartObj>
    </w:sdtPr>
    <w:sdtEndPr>
      <w:rPr>
        <w:noProof/>
      </w:rPr>
    </w:sdtEndPr>
    <w:sdtContent>
      <w:p w:rsidR="004441A7" w:rsidRDefault="004441A7" w:rsidP="004441A7">
        <w:pPr>
          <w:pStyle w:val="Footer"/>
          <w:jc w:val="right"/>
        </w:pPr>
        <w:r>
          <w:fldChar w:fldCharType="begin"/>
        </w:r>
        <w:r>
          <w:instrText xml:space="preserve"> PAGE   \* MERGEFORMAT </w:instrText>
        </w:r>
        <w:r>
          <w:fldChar w:fldCharType="separate"/>
        </w:r>
        <w:r w:rsidR="00CB7F5A">
          <w:rPr>
            <w:noProof/>
          </w:rPr>
          <w:t>10</w:t>
        </w:r>
        <w:r>
          <w:rPr>
            <w:noProof/>
          </w:rPr>
          <w:fldChar w:fldCharType="end"/>
        </w:r>
      </w:p>
    </w:sdtContent>
  </w:sdt>
  <w:p w:rsidR="004441A7" w:rsidRPr="007F0CD7" w:rsidRDefault="00454565">
    <w:pPr>
      <w:pStyle w:val="Footer"/>
      <w:rPr>
        <w:sz w:val="12"/>
        <w:szCs w:val="18"/>
      </w:rPr>
    </w:pPr>
    <w:r w:rsidRPr="007F0CD7">
      <w:rPr>
        <w:sz w:val="12"/>
        <w:szCs w:val="18"/>
      </w:rPr>
      <w:t>G06(CW/18-19/11June/</w:t>
    </w:r>
    <w:r w:rsidR="007F0CD7" w:rsidRPr="007F0CD7">
      <w:rPr>
        <w:sz w:val="12"/>
        <w:szCs w:val="18"/>
      </w:rPr>
      <w:t xml:space="preserve"> APPENDIX G-Revised as per Decisions made at CW on 11June2019)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D07" w:rsidRDefault="00BF7D07" w:rsidP="004441A7">
      <w:pPr>
        <w:spacing w:before="0" w:after="0" w:line="240" w:lineRule="auto"/>
      </w:pPr>
      <w:r>
        <w:separator/>
      </w:r>
    </w:p>
  </w:footnote>
  <w:footnote w:type="continuationSeparator" w:id="0">
    <w:p w:rsidR="00BF7D07" w:rsidRDefault="00BF7D07" w:rsidP="004441A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11F3"/>
    <w:multiLevelType w:val="hybridMultilevel"/>
    <w:tmpl w:val="78F4A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1E12D3"/>
    <w:multiLevelType w:val="hybridMultilevel"/>
    <w:tmpl w:val="AA5AB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C5C4966"/>
    <w:multiLevelType w:val="hybridMultilevel"/>
    <w:tmpl w:val="55E242D8"/>
    <w:lvl w:ilvl="0" w:tplc="A7B8EF1E">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D826CE6"/>
    <w:multiLevelType w:val="hybridMultilevel"/>
    <w:tmpl w:val="E1CCF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DE82E89"/>
    <w:multiLevelType w:val="hybridMultilevel"/>
    <w:tmpl w:val="E26A8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DF20AA"/>
    <w:multiLevelType w:val="hybridMultilevel"/>
    <w:tmpl w:val="897AB0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nsid w:val="1F136613"/>
    <w:multiLevelType w:val="hybridMultilevel"/>
    <w:tmpl w:val="7FE61E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3E53350"/>
    <w:multiLevelType w:val="hybridMultilevel"/>
    <w:tmpl w:val="A6F46B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2BAD3A73"/>
    <w:multiLevelType w:val="hybridMultilevel"/>
    <w:tmpl w:val="07AE10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F602451"/>
    <w:multiLevelType w:val="hybridMultilevel"/>
    <w:tmpl w:val="C876E1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FCE29C1"/>
    <w:multiLevelType w:val="hybridMultilevel"/>
    <w:tmpl w:val="42BC959A"/>
    <w:lvl w:ilvl="0" w:tplc="BBB46646">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nsid w:val="3AA91AB0"/>
    <w:multiLevelType w:val="hybridMultilevel"/>
    <w:tmpl w:val="3578C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F3E6224"/>
    <w:multiLevelType w:val="hybridMultilevel"/>
    <w:tmpl w:val="6E983A12"/>
    <w:lvl w:ilvl="0" w:tplc="3B885640">
      <w:start w:val="1"/>
      <w:numFmt w:val="bullet"/>
      <w:lvlText w:val=""/>
      <w:lvlJc w:val="left"/>
      <w:pPr>
        <w:ind w:left="360" w:hanging="360"/>
      </w:pPr>
      <w:rPr>
        <w:rFonts w:ascii="Symbol" w:hAnsi="Symbol" w:hint="default"/>
      </w:rPr>
    </w:lvl>
    <w:lvl w:ilvl="1" w:tplc="5DBEB702">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28354F5"/>
    <w:multiLevelType w:val="hybridMultilevel"/>
    <w:tmpl w:val="0E24C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7F1D91"/>
    <w:multiLevelType w:val="hybridMultilevel"/>
    <w:tmpl w:val="D20A5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98C4C9C"/>
    <w:multiLevelType w:val="hybridMultilevel"/>
    <w:tmpl w:val="7B6C4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B693E34"/>
    <w:multiLevelType w:val="hybridMultilevel"/>
    <w:tmpl w:val="A5147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D29507D"/>
    <w:multiLevelType w:val="hybridMultilevel"/>
    <w:tmpl w:val="3948D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EBD778C"/>
    <w:multiLevelType w:val="hybridMultilevel"/>
    <w:tmpl w:val="B6CC5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5D06336"/>
    <w:multiLevelType w:val="hybridMultilevel"/>
    <w:tmpl w:val="59D25F84"/>
    <w:lvl w:ilvl="0" w:tplc="A06E0952">
      <w:numFmt w:val="bullet"/>
      <w:lvlText w:val="•"/>
      <w:lvlJc w:val="left"/>
      <w:pPr>
        <w:ind w:left="1080" w:hanging="72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66522A2"/>
    <w:multiLevelType w:val="hybridMultilevel"/>
    <w:tmpl w:val="9AE4CB72"/>
    <w:lvl w:ilvl="0" w:tplc="826CE91C">
      <w:start w:val="1"/>
      <w:numFmt w:val="bullet"/>
      <w:lvlText w:val=""/>
      <w:lvlJc w:val="left"/>
      <w:pPr>
        <w:ind w:left="360" w:hanging="360"/>
      </w:pPr>
      <w:rPr>
        <w:rFonts w:ascii="Symbol" w:hAnsi="Symbol" w:hint="default"/>
      </w:rPr>
    </w:lvl>
    <w:lvl w:ilvl="1" w:tplc="0EB6DC0E">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ABC3008"/>
    <w:multiLevelType w:val="hybridMultilevel"/>
    <w:tmpl w:val="C37CF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6470FE0"/>
    <w:multiLevelType w:val="hybridMultilevel"/>
    <w:tmpl w:val="0DAAB108"/>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3">
    <w:nsid w:val="696B0652"/>
    <w:multiLevelType w:val="hybridMultilevel"/>
    <w:tmpl w:val="3AAE9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CF65EC7"/>
    <w:multiLevelType w:val="hybridMultilevel"/>
    <w:tmpl w:val="947CC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EAB70A8"/>
    <w:multiLevelType w:val="hybridMultilevel"/>
    <w:tmpl w:val="7278F6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FAF5AE5"/>
    <w:multiLevelType w:val="hybridMultilevel"/>
    <w:tmpl w:val="9CC6E4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07464E9"/>
    <w:multiLevelType w:val="hybridMultilevel"/>
    <w:tmpl w:val="084EE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F110FBB"/>
    <w:multiLevelType w:val="hybridMultilevel"/>
    <w:tmpl w:val="3BA0F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F4A0E8E"/>
    <w:multiLevelType w:val="hybridMultilevel"/>
    <w:tmpl w:val="29FAACF4"/>
    <w:lvl w:ilvl="0" w:tplc="975668A4">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5"/>
  </w:num>
  <w:num w:numId="4">
    <w:abstractNumId w:val="7"/>
  </w:num>
  <w:num w:numId="5">
    <w:abstractNumId w:val="15"/>
  </w:num>
  <w:num w:numId="6">
    <w:abstractNumId w:val="13"/>
  </w:num>
  <w:num w:numId="7">
    <w:abstractNumId w:val="17"/>
  </w:num>
  <w:num w:numId="8">
    <w:abstractNumId w:val="9"/>
  </w:num>
  <w:num w:numId="9">
    <w:abstractNumId w:val="3"/>
  </w:num>
  <w:num w:numId="10">
    <w:abstractNumId w:val="23"/>
  </w:num>
  <w:num w:numId="11">
    <w:abstractNumId w:val="26"/>
  </w:num>
  <w:num w:numId="12">
    <w:abstractNumId w:val="22"/>
  </w:num>
  <w:num w:numId="13">
    <w:abstractNumId w:val="4"/>
  </w:num>
  <w:num w:numId="14">
    <w:abstractNumId w:val="25"/>
  </w:num>
  <w:num w:numId="15">
    <w:abstractNumId w:val="8"/>
  </w:num>
  <w:num w:numId="16">
    <w:abstractNumId w:val="0"/>
  </w:num>
  <w:num w:numId="17">
    <w:abstractNumId w:val="16"/>
  </w:num>
  <w:num w:numId="18">
    <w:abstractNumId w:val="24"/>
  </w:num>
  <w:num w:numId="19">
    <w:abstractNumId w:val="1"/>
  </w:num>
  <w:num w:numId="20">
    <w:abstractNumId w:val="14"/>
  </w:num>
  <w:num w:numId="21">
    <w:abstractNumId w:val="28"/>
  </w:num>
  <w:num w:numId="22">
    <w:abstractNumId w:val="29"/>
  </w:num>
  <w:num w:numId="23">
    <w:abstractNumId w:val="6"/>
  </w:num>
  <w:num w:numId="24">
    <w:abstractNumId w:val="21"/>
  </w:num>
  <w:num w:numId="25">
    <w:abstractNumId w:val="11"/>
  </w:num>
  <w:num w:numId="26">
    <w:abstractNumId w:val="27"/>
  </w:num>
  <w:num w:numId="27">
    <w:abstractNumId w:val="18"/>
  </w:num>
  <w:num w:numId="28">
    <w:abstractNumId w:val="10"/>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C9"/>
    <w:rsid w:val="000062FC"/>
    <w:rsid w:val="00012270"/>
    <w:rsid w:val="000136D9"/>
    <w:rsid w:val="00014E32"/>
    <w:rsid w:val="000321F3"/>
    <w:rsid w:val="00076789"/>
    <w:rsid w:val="000A0A89"/>
    <w:rsid w:val="000B66C5"/>
    <w:rsid w:val="000B6EA1"/>
    <w:rsid w:val="00100C50"/>
    <w:rsid w:val="0010239E"/>
    <w:rsid w:val="001023CD"/>
    <w:rsid w:val="00110E0A"/>
    <w:rsid w:val="00142EA8"/>
    <w:rsid w:val="00175A99"/>
    <w:rsid w:val="00197727"/>
    <w:rsid w:val="001B214D"/>
    <w:rsid w:val="001B3CCA"/>
    <w:rsid w:val="001B6537"/>
    <w:rsid w:val="001D0EA1"/>
    <w:rsid w:val="001E66E2"/>
    <w:rsid w:val="001E689E"/>
    <w:rsid w:val="001F0750"/>
    <w:rsid w:val="00226B71"/>
    <w:rsid w:val="00243ECD"/>
    <w:rsid w:val="00247527"/>
    <w:rsid w:val="00254D05"/>
    <w:rsid w:val="00262943"/>
    <w:rsid w:val="0028274F"/>
    <w:rsid w:val="00283A64"/>
    <w:rsid w:val="00287921"/>
    <w:rsid w:val="00297BE2"/>
    <w:rsid w:val="00297E63"/>
    <w:rsid w:val="002A225C"/>
    <w:rsid w:val="002A3271"/>
    <w:rsid w:val="002D27B1"/>
    <w:rsid w:val="002E1F55"/>
    <w:rsid w:val="002F7CD5"/>
    <w:rsid w:val="003005BC"/>
    <w:rsid w:val="00331C35"/>
    <w:rsid w:val="00335DBC"/>
    <w:rsid w:val="00337AE0"/>
    <w:rsid w:val="00357023"/>
    <w:rsid w:val="003C0AB5"/>
    <w:rsid w:val="003C51A0"/>
    <w:rsid w:val="003E1350"/>
    <w:rsid w:val="003E4DF4"/>
    <w:rsid w:val="003F2C9D"/>
    <w:rsid w:val="003F6685"/>
    <w:rsid w:val="00407AD2"/>
    <w:rsid w:val="0041529A"/>
    <w:rsid w:val="0043486C"/>
    <w:rsid w:val="004441A7"/>
    <w:rsid w:val="00454565"/>
    <w:rsid w:val="00471B7C"/>
    <w:rsid w:val="004D7CED"/>
    <w:rsid w:val="0051496B"/>
    <w:rsid w:val="00516991"/>
    <w:rsid w:val="00520327"/>
    <w:rsid w:val="005243B4"/>
    <w:rsid w:val="00526FC3"/>
    <w:rsid w:val="005410C3"/>
    <w:rsid w:val="00546F9C"/>
    <w:rsid w:val="00553919"/>
    <w:rsid w:val="00563831"/>
    <w:rsid w:val="00594CAE"/>
    <w:rsid w:val="005A3B41"/>
    <w:rsid w:val="005A4217"/>
    <w:rsid w:val="005B44DB"/>
    <w:rsid w:val="005C5482"/>
    <w:rsid w:val="005D30B9"/>
    <w:rsid w:val="005D7672"/>
    <w:rsid w:val="005F09AA"/>
    <w:rsid w:val="005F62A2"/>
    <w:rsid w:val="00623A06"/>
    <w:rsid w:val="00635E55"/>
    <w:rsid w:val="00652109"/>
    <w:rsid w:val="0067661F"/>
    <w:rsid w:val="006825F1"/>
    <w:rsid w:val="006B6BBC"/>
    <w:rsid w:val="006C2CC5"/>
    <w:rsid w:val="006E005F"/>
    <w:rsid w:val="00701F0F"/>
    <w:rsid w:val="007028AF"/>
    <w:rsid w:val="007631BF"/>
    <w:rsid w:val="00783655"/>
    <w:rsid w:val="007874E1"/>
    <w:rsid w:val="007B0F85"/>
    <w:rsid w:val="007B67AD"/>
    <w:rsid w:val="007C3642"/>
    <w:rsid w:val="007C4497"/>
    <w:rsid w:val="007E18BA"/>
    <w:rsid w:val="007E59C5"/>
    <w:rsid w:val="007F0CD7"/>
    <w:rsid w:val="00810D99"/>
    <w:rsid w:val="00812C13"/>
    <w:rsid w:val="00813081"/>
    <w:rsid w:val="0082616B"/>
    <w:rsid w:val="008301D7"/>
    <w:rsid w:val="008401B9"/>
    <w:rsid w:val="00851C16"/>
    <w:rsid w:val="00855FB6"/>
    <w:rsid w:val="00866F7D"/>
    <w:rsid w:val="008906ED"/>
    <w:rsid w:val="008921DB"/>
    <w:rsid w:val="00897459"/>
    <w:rsid w:val="008A1E6F"/>
    <w:rsid w:val="008B568E"/>
    <w:rsid w:val="008D25A5"/>
    <w:rsid w:val="008F71A5"/>
    <w:rsid w:val="008F7FC9"/>
    <w:rsid w:val="00943238"/>
    <w:rsid w:val="00947545"/>
    <w:rsid w:val="00990EED"/>
    <w:rsid w:val="009A36AE"/>
    <w:rsid w:val="009A7448"/>
    <w:rsid w:val="009B0544"/>
    <w:rsid w:val="009B17E4"/>
    <w:rsid w:val="009C3D8F"/>
    <w:rsid w:val="00A04F97"/>
    <w:rsid w:val="00A24CFC"/>
    <w:rsid w:val="00A32F11"/>
    <w:rsid w:val="00A35C7F"/>
    <w:rsid w:val="00A50934"/>
    <w:rsid w:val="00A54826"/>
    <w:rsid w:val="00A61B7F"/>
    <w:rsid w:val="00A81B92"/>
    <w:rsid w:val="00A8391A"/>
    <w:rsid w:val="00AC6404"/>
    <w:rsid w:val="00B07C99"/>
    <w:rsid w:val="00B143B5"/>
    <w:rsid w:val="00B15E36"/>
    <w:rsid w:val="00B25950"/>
    <w:rsid w:val="00B37418"/>
    <w:rsid w:val="00B65256"/>
    <w:rsid w:val="00B8779C"/>
    <w:rsid w:val="00B944C2"/>
    <w:rsid w:val="00B94B34"/>
    <w:rsid w:val="00BA4B6D"/>
    <w:rsid w:val="00BE041A"/>
    <w:rsid w:val="00BE0685"/>
    <w:rsid w:val="00BF0DC9"/>
    <w:rsid w:val="00BF208D"/>
    <w:rsid w:val="00BF7D07"/>
    <w:rsid w:val="00C06D32"/>
    <w:rsid w:val="00C3253F"/>
    <w:rsid w:val="00C4662D"/>
    <w:rsid w:val="00C51B13"/>
    <w:rsid w:val="00C6192F"/>
    <w:rsid w:val="00C61AB1"/>
    <w:rsid w:val="00C75F96"/>
    <w:rsid w:val="00C80E0E"/>
    <w:rsid w:val="00CB7F5A"/>
    <w:rsid w:val="00CD7359"/>
    <w:rsid w:val="00CF0412"/>
    <w:rsid w:val="00CF6B58"/>
    <w:rsid w:val="00D21C29"/>
    <w:rsid w:val="00D31603"/>
    <w:rsid w:val="00D53EAA"/>
    <w:rsid w:val="00D62CC4"/>
    <w:rsid w:val="00D66354"/>
    <w:rsid w:val="00D72437"/>
    <w:rsid w:val="00DB6EE8"/>
    <w:rsid w:val="00DC5B64"/>
    <w:rsid w:val="00DD16BC"/>
    <w:rsid w:val="00DD42C4"/>
    <w:rsid w:val="00DD703D"/>
    <w:rsid w:val="00E17676"/>
    <w:rsid w:val="00E252A2"/>
    <w:rsid w:val="00E364F3"/>
    <w:rsid w:val="00E57C7E"/>
    <w:rsid w:val="00E9365B"/>
    <w:rsid w:val="00EA1C50"/>
    <w:rsid w:val="00EB009E"/>
    <w:rsid w:val="00EB0202"/>
    <w:rsid w:val="00EC375D"/>
    <w:rsid w:val="00ED26D4"/>
    <w:rsid w:val="00ED5FD2"/>
    <w:rsid w:val="00ED6959"/>
    <w:rsid w:val="00EE2425"/>
    <w:rsid w:val="00F10F7E"/>
    <w:rsid w:val="00F12C7E"/>
    <w:rsid w:val="00F14DBA"/>
    <w:rsid w:val="00F204C5"/>
    <w:rsid w:val="00F32248"/>
    <w:rsid w:val="00F326F6"/>
    <w:rsid w:val="00F77094"/>
    <w:rsid w:val="00F8056F"/>
    <w:rsid w:val="00F85541"/>
    <w:rsid w:val="00F936A7"/>
    <w:rsid w:val="00FB63F8"/>
    <w:rsid w:val="00FC0D59"/>
    <w:rsid w:val="00FC24D5"/>
    <w:rsid w:val="00FC2C49"/>
    <w:rsid w:val="00FC301A"/>
    <w:rsid w:val="00FD13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C9"/>
    <w:pPr>
      <w:spacing w:before="120" w:after="240"/>
    </w:pPr>
    <w:rPr>
      <w:rFonts w:ascii="Arial" w:hAnsi="Arial"/>
      <w:sz w:val="24"/>
    </w:rPr>
  </w:style>
  <w:style w:type="paragraph" w:styleId="Heading1">
    <w:name w:val="heading 1"/>
    <w:basedOn w:val="Normal"/>
    <w:next w:val="Normal"/>
    <w:link w:val="Heading1Char"/>
    <w:autoRedefine/>
    <w:uiPriority w:val="9"/>
    <w:qFormat/>
    <w:rsid w:val="00E57C7E"/>
    <w:pPr>
      <w:keepNext/>
      <w:keepLines/>
      <w:spacing w:line="259"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F7FC9"/>
    <w:pPr>
      <w:keepNext/>
      <w:keepLines/>
      <w:spacing w:before="200" w:after="0" w:line="36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FC24D5"/>
    <w:pPr>
      <w:keepNext/>
      <w:keepLines/>
      <w:spacing w:before="200" w:after="0" w:line="360" w:lineRule="auto"/>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F8056F"/>
    <w:pPr>
      <w:keepNext/>
      <w:keepLines/>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FC9"/>
    <w:rPr>
      <w:rFonts w:ascii="Arial" w:eastAsiaTheme="majorEastAsia" w:hAnsi="Arial" w:cstheme="majorBidi"/>
      <w:b/>
      <w:bCs/>
      <w:color w:val="000000" w:themeColor="text1"/>
      <w:sz w:val="28"/>
      <w:szCs w:val="26"/>
    </w:rPr>
  </w:style>
  <w:style w:type="paragraph" w:styleId="BodyText">
    <w:name w:val="Body Text"/>
    <w:basedOn w:val="Normal"/>
    <w:link w:val="BodyTextChar"/>
    <w:uiPriority w:val="99"/>
    <w:semiHidden/>
    <w:unhideWhenUsed/>
    <w:rsid w:val="00D72437"/>
    <w:pPr>
      <w:spacing w:after="120"/>
    </w:pPr>
  </w:style>
  <w:style w:type="character" w:customStyle="1" w:styleId="BodyTextChar">
    <w:name w:val="Body Text Char"/>
    <w:basedOn w:val="DefaultParagraphFont"/>
    <w:link w:val="BodyText"/>
    <w:uiPriority w:val="99"/>
    <w:semiHidden/>
    <w:rsid w:val="00D72437"/>
  </w:style>
  <w:style w:type="character" w:customStyle="1" w:styleId="Heading1Char">
    <w:name w:val="Heading 1 Char"/>
    <w:basedOn w:val="DefaultParagraphFont"/>
    <w:link w:val="Heading1"/>
    <w:uiPriority w:val="9"/>
    <w:rsid w:val="00E57C7E"/>
    <w:rPr>
      <w:rFonts w:ascii="Arial" w:eastAsiaTheme="majorEastAsia" w:hAnsi="Arial" w:cstheme="majorBidi"/>
      <w:b/>
      <w:bCs/>
      <w:color w:val="000000" w:themeColor="text1"/>
      <w:sz w:val="32"/>
      <w:szCs w:val="28"/>
    </w:rPr>
  </w:style>
  <w:style w:type="character" w:customStyle="1" w:styleId="Heading3Char">
    <w:name w:val="Heading 3 Char"/>
    <w:basedOn w:val="DefaultParagraphFont"/>
    <w:link w:val="Heading3"/>
    <w:uiPriority w:val="9"/>
    <w:rsid w:val="00FC24D5"/>
    <w:rPr>
      <w:rFonts w:ascii="Arial" w:eastAsiaTheme="majorEastAsia" w:hAnsi="Arial" w:cstheme="majorBidi"/>
      <w:bCs/>
      <w:sz w:val="24"/>
    </w:rPr>
  </w:style>
  <w:style w:type="character" w:customStyle="1" w:styleId="Heading4Char">
    <w:name w:val="Heading 4 Char"/>
    <w:basedOn w:val="DefaultParagraphFont"/>
    <w:link w:val="Heading4"/>
    <w:uiPriority w:val="9"/>
    <w:rsid w:val="00F8056F"/>
    <w:rPr>
      <w:rFonts w:ascii="Myriad Pro" w:eastAsiaTheme="majorEastAsia" w:hAnsi="Myriad Pro" w:cstheme="majorBidi"/>
      <w:b/>
      <w:bCs/>
      <w:i/>
      <w:iCs/>
      <w:color w:val="000000" w:themeColor="text1"/>
      <w:sz w:val="24"/>
    </w:rPr>
  </w:style>
  <w:style w:type="paragraph" w:styleId="ListParagraph">
    <w:name w:val="List Paragraph"/>
    <w:basedOn w:val="List"/>
    <w:autoRedefine/>
    <w:uiPriority w:val="34"/>
    <w:qFormat/>
    <w:rsid w:val="00CD7359"/>
    <w:pPr>
      <w:numPr>
        <w:numId w:val="2"/>
      </w:numPr>
      <w:spacing w:before="0" w:after="120" w:line="240" w:lineRule="auto"/>
      <w:contextualSpacing w:val="0"/>
    </w:pPr>
  </w:style>
  <w:style w:type="paragraph" w:styleId="NoSpacing">
    <w:name w:val="No Spacing"/>
    <w:autoRedefine/>
    <w:uiPriority w:val="1"/>
    <w:qFormat/>
    <w:rsid w:val="00E57C7E"/>
    <w:pPr>
      <w:spacing w:after="0" w:line="240" w:lineRule="auto"/>
    </w:pPr>
    <w:rPr>
      <w:rFonts w:ascii="Arial" w:hAnsi="Arial"/>
      <w:sz w:val="24"/>
    </w:rPr>
  </w:style>
  <w:style w:type="paragraph" w:styleId="List">
    <w:name w:val="List"/>
    <w:basedOn w:val="Normal"/>
    <w:uiPriority w:val="99"/>
    <w:semiHidden/>
    <w:unhideWhenUsed/>
    <w:rsid w:val="00E57C7E"/>
    <w:pPr>
      <w:ind w:left="283" w:hanging="283"/>
      <w:contextualSpacing/>
    </w:pPr>
  </w:style>
  <w:style w:type="table" w:styleId="TableGrid">
    <w:name w:val="Table Grid"/>
    <w:basedOn w:val="TableNormal"/>
    <w:uiPriority w:val="59"/>
    <w:rsid w:val="008F7FC9"/>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7FC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8F7FC9"/>
    <w:rPr>
      <w:rFonts w:ascii="Calibri" w:hAnsi="Calibri"/>
      <w:szCs w:val="21"/>
    </w:rPr>
  </w:style>
  <w:style w:type="paragraph" w:styleId="NormalWeb">
    <w:name w:val="Normal (Web)"/>
    <w:basedOn w:val="Normal"/>
    <w:uiPriority w:val="99"/>
    <w:unhideWhenUsed/>
    <w:rsid w:val="007028AF"/>
    <w:pPr>
      <w:spacing w:before="100" w:beforeAutospacing="1" w:after="100" w:afterAutospacing="1" w:line="240" w:lineRule="auto"/>
    </w:pPr>
    <w:rPr>
      <w:rFonts w:ascii="Times New Roman" w:hAnsi="Times New Roman" w:cs="Times New Roman"/>
      <w:szCs w:val="24"/>
      <w:lang w:eastAsia="en-CA"/>
    </w:rPr>
  </w:style>
  <w:style w:type="paragraph" w:styleId="BalloonText">
    <w:name w:val="Balloon Text"/>
    <w:basedOn w:val="Normal"/>
    <w:link w:val="BalloonTextChar"/>
    <w:uiPriority w:val="99"/>
    <w:semiHidden/>
    <w:unhideWhenUsed/>
    <w:rsid w:val="0055391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919"/>
    <w:rPr>
      <w:rFonts w:ascii="Tahoma" w:hAnsi="Tahoma" w:cs="Tahoma"/>
      <w:sz w:val="16"/>
      <w:szCs w:val="16"/>
    </w:rPr>
  </w:style>
  <w:style w:type="paragraph" w:styleId="Header">
    <w:name w:val="header"/>
    <w:basedOn w:val="Normal"/>
    <w:link w:val="HeaderChar"/>
    <w:uiPriority w:val="99"/>
    <w:unhideWhenUsed/>
    <w:rsid w:val="004441A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41A7"/>
    <w:rPr>
      <w:rFonts w:ascii="Arial" w:hAnsi="Arial"/>
      <w:sz w:val="24"/>
    </w:rPr>
  </w:style>
  <w:style w:type="paragraph" w:styleId="Footer">
    <w:name w:val="footer"/>
    <w:basedOn w:val="Normal"/>
    <w:link w:val="FooterChar"/>
    <w:uiPriority w:val="99"/>
    <w:unhideWhenUsed/>
    <w:rsid w:val="004441A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41A7"/>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C9"/>
    <w:pPr>
      <w:spacing w:before="120" w:after="240"/>
    </w:pPr>
    <w:rPr>
      <w:rFonts w:ascii="Arial" w:hAnsi="Arial"/>
      <w:sz w:val="24"/>
    </w:rPr>
  </w:style>
  <w:style w:type="paragraph" w:styleId="Heading1">
    <w:name w:val="heading 1"/>
    <w:basedOn w:val="Normal"/>
    <w:next w:val="Normal"/>
    <w:link w:val="Heading1Char"/>
    <w:autoRedefine/>
    <w:uiPriority w:val="9"/>
    <w:qFormat/>
    <w:rsid w:val="00E57C7E"/>
    <w:pPr>
      <w:keepNext/>
      <w:keepLines/>
      <w:spacing w:line="259"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F7FC9"/>
    <w:pPr>
      <w:keepNext/>
      <w:keepLines/>
      <w:spacing w:before="200" w:after="0" w:line="36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FC24D5"/>
    <w:pPr>
      <w:keepNext/>
      <w:keepLines/>
      <w:spacing w:before="200" w:after="0" w:line="360" w:lineRule="auto"/>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F8056F"/>
    <w:pPr>
      <w:keepNext/>
      <w:keepLines/>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FC9"/>
    <w:rPr>
      <w:rFonts w:ascii="Arial" w:eastAsiaTheme="majorEastAsia" w:hAnsi="Arial" w:cstheme="majorBidi"/>
      <w:b/>
      <w:bCs/>
      <w:color w:val="000000" w:themeColor="text1"/>
      <w:sz w:val="28"/>
      <w:szCs w:val="26"/>
    </w:rPr>
  </w:style>
  <w:style w:type="paragraph" w:styleId="BodyText">
    <w:name w:val="Body Text"/>
    <w:basedOn w:val="Normal"/>
    <w:link w:val="BodyTextChar"/>
    <w:uiPriority w:val="99"/>
    <w:semiHidden/>
    <w:unhideWhenUsed/>
    <w:rsid w:val="00D72437"/>
    <w:pPr>
      <w:spacing w:after="120"/>
    </w:pPr>
  </w:style>
  <w:style w:type="character" w:customStyle="1" w:styleId="BodyTextChar">
    <w:name w:val="Body Text Char"/>
    <w:basedOn w:val="DefaultParagraphFont"/>
    <w:link w:val="BodyText"/>
    <w:uiPriority w:val="99"/>
    <w:semiHidden/>
    <w:rsid w:val="00D72437"/>
  </w:style>
  <w:style w:type="character" w:customStyle="1" w:styleId="Heading1Char">
    <w:name w:val="Heading 1 Char"/>
    <w:basedOn w:val="DefaultParagraphFont"/>
    <w:link w:val="Heading1"/>
    <w:uiPriority w:val="9"/>
    <w:rsid w:val="00E57C7E"/>
    <w:rPr>
      <w:rFonts w:ascii="Arial" w:eastAsiaTheme="majorEastAsia" w:hAnsi="Arial" w:cstheme="majorBidi"/>
      <w:b/>
      <w:bCs/>
      <w:color w:val="000000" w:themeColor="text1"/>
      <w:sz w:val="32"/>
      <w:szCs w:val="28"/>
    </w:rPr>
  </w:style>
  <w:style w:type="character" w:customStyle="1" w:styleId="Heading3Char">
    <w:name w:val="Heading 3 Char"/>
    <w:basedOn w:val="DefaultParagraphFont"/>
    <w:link w:val="Heading3"/>
    <w:uiPriority w:val="9"/>
    <w:rsid w:val="00FC24D5"/>
    <w:rPr>
      <w:rFonts w:ascii="Arial" w:eastAsiaTheme="majorEastAsia" w:hAnsi="Arial" w:cstheme="majorBidi"/>
      <w:bCs/>
      <w:sz w:val="24"/>
    </w:rPr>
  </w:style>
  <w:style w:type="character" w:customStyle="1" w:styleId="Heading4Char">
    <w:name w:val="Heading 4 Char"/>
    <w:basedOn w:val="DefaultParagraphFont"/>
    <w:link w:val="Heading4"/>
    <w:uiPriority w:val="9"/>
    <w:rsid w:val="00F8056F"/>
    <w:rPr>
      <w:rFonts w:ascii="Myriad Pro" w:eastAsiaTheme="majorEastAsia" w:hAnsi="Myriad Pro" w:cstheme="majorBidi"/>
      <w:b/>
      <w:bCs/>
      <w:i/>
      <w:iCs/>
      <w:color w:val="000000" w:themeColor="text1"/>
      <w:sz w:val="24"/>
    </w:rPr>
  </w:style>
  <w:style w:type="paragraph" w:styleId="ListParagraph">
    <w:name w:val="List Paragraph"/>
    <w:basedOn w:val="List"/>
    <w:autoRedefine/>
    <w:uiPriority w:val="34"/>
    <w:qFormat/>
    <w:rsid w:val="00CD7359"/>
    <w:pPr>
      <w:numPr>
        <w:numId w:val="2"/>
      </w:numPr>
      <w:spacing w:before="0" w:after="120" w:line="240" w:lineRule="auto"/>
      <w:contextualSpacing w:val="0"/>
    </w:pPr>
  </w:style>
  <w:style w:type="paragraph" w:styleId="NoSpacing">
    <w:name w:val="No Spacing"/>
    <w:autoRedefine/>
    <w:uiPriority w:val="1"/>
    <w:qFormat/>
    <w:rsid w:val="00E57C7E"/>
    <w:pPr>
      <w:spacing w:after="0" w:line="240" w:lineRule="auto"/>
    </w:pPr>
    <w:rPr>
      <w:rFonts w:ascii="Arial" w:hAnsi="Arial"/>
      <w:sz w:val="24"/>
    </w:rPr>
  </w:style>
  <w:style w:type="paragraph" w:styleId="List">
    <w:name w:val="List"/>
    <w:basedOn w:val="Normal"/>
    <w:uiPriority w:val="99"/>
    <w:semiHidden/>
    <w:unhideWhenUsed/>
    <w:rsid w:val="00E57C7E"/>
    <w:pPr>
      <w:ind w:left="283" w:hanging="283"/>
      <w:contextualSpacing/>
    </w:pPr>
  </w:style>
  <w:style w:type="table" w:styleId="TableGrid">
    <w:name w:val="Table Grid"/>
    <w:basedOn w:val="TableNormal"/>
    <w:uiPriority w:val="59"/>
    <w:rsid w:val="008F7FC9"/>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7FC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8F7FC9"/>
    <w:rPr>
      <w:rFonts w:ascii="Calibri" w:hAnsi="Calibri"/>
      <w:szCs w:val="21"/>
    </w:rPr>
  </w:style>
  <w:style w:type="paragraph" w:styleId="NormalWeb">
    <w:name w:val="Normal (Web)"/>
    <w:basedOn w:val="Normal"/>
    <w:uiPriority w:val="99"/>
    <w:unhideWhenUsed/>
    <w:rsid w:val="007028AF"/>
    <w:pPr>
      <w:spacing w:before="100" w:beforeAutospacing="1" w:after="100" w:afterAutospacing="1" w:line="240" w:lineRule="auto"/>
    </w:pPr>
    <w:rPr>
      <w:rFonts w:ascii="Times New Roman" w:hAnsi="Times New Roman" w:cs="Times New Roman"/>
      <w:szCs w:val="24"/>
      <w:lang w:eastAsia="en-CA"/>
    </w:rPr>
  </w:style>
  <w:style w:type="paragraph" w:styleId="BalloonText">
    <w:name w:val="Balloon Text"/>
    <w:basedOn w:val="Normal"/>
    <w:link w:val="BalloonTextChar"/>
    <w:uiPriority w:val="99"/>
    <w:semiHidden/>
    <w:unhideWhenUsed/>
    <w:rsid w:val="0055391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919"/>
    <w:rPr>
      <w:rFonts w:ascii="Tahoma" w:hAnsi="Tahoma" w:cs="Tahoma"/>
      <w:sz w:val="16"/>
      <w:szCs w:val="16"/>
    </w:rPr>
  </w:style>
  <w:style w:type="paragraph" w:styleId="Header">
    <w:name w:val="header"/>
    <w:basedOn w:val="Normal"/>
    <w:link w:val="HeaderChar"/>
    <w:uiPriority w:val="99"/>
    <w:unhideWhenUsed/>
    <w:rsid w:val="004441A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41A7"/>
    <w:rPr>
      <w:rFonts w:ascii="Arial" w:hAnsi="Arial"/>
      <w:sz w:val="24"/>
    </w:rPr>
  </w:style>
  <w:style w:type="paragraph" w:styleId="Footer">
    <w:name w:val="footer"/>
    <w:basedOn w:val="Normal"/>
    <w:link w:val="FooterChar"/>
    <w:uiPriority w:val="99"/>
    <w:unhideWhenUsed/>
    <w:rsid w:val="004441A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41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965549">
      <w:bodyDiv w:val="1"/>
      <w:marLeft w:val="0"/>
      <w:marRight w:val="0"/>
      <w:marTop w:val="0"/>
      <w:marBottom w:val="0"/>
      <w:divBdr>
        <w:top w:val="none" w:sz="0" w:space="0" w:color="auto"/>
        <w:left w:val="none" w:sz="0" w:space="0" w:color="auto"/>
        <w:bottom w:val="none" w:sz="0" w:space="0" w:color="auto"/>
        <w:right w:val="none" w:sz="0" w:space="0" w:color="auto"/>
      </w:divBdr>
    </w:div>
    <w:div w:id="18576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A3D02-7786-4E77-8046-7C412F37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Appendix G: Proposed Budget Reductions and Changes to Program/Service Delivery</vt:lpstr>
    </vt:vector>
  </TitlesOfParts>
  <Company>Toronto District School Board</Company>
  <LinksUpToDate>false</LinksUpToDate>
  <CharactersWithSpaces>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 Proposed Budget Reductions and Changes to Program/Service Delivery</dc:title>
  <dc:creator>Anker, Dina</dc:creator>
  <cp:lastModifiedBy>Pagliaroli, Rosa</cp:lastModifiedBy>
  <cp:revision>8</cp:revision>
  <cp:lastPrinted>2019-06-19T16:07:00Z</cp:lastPrinted>
  <dcterms:created xsi:type="dcterms:W3CDTF">2019-06-14T22:32:00Z</dcterms:created>
  <dcterms:modified xsi:type="dcterms:W3CDTF">2019-06-19T16:07:00Z</dcterms:modified>
</cp:coreProperties>
</file>