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88CBB9" w14:textId="77777777" w:rsidR="009A0CF1" w:rsidRPr="009A0CF1" w:rsidRDefault="009A0CF1" w:rsidP="009A0CF1">
      <w:pPr>
        <w:rPr>
          <w:rFonts w:ascii="Arial" w:hAnsi="Arial" w:cs="Arial"/>
          <w:b/>
          <w:bCs/>
          <w:sz w:val="28"/>
          <w:szCs w:val="28"/>
        </w:rPr>
      </w:pPr>
      <w:r w:rsidRPr="009A0CF1">
        <w:rPr>
          <w:rFonts w:ascii="Arial" w:hAnsi="Arial" w:cs="Arial"/>
          <w:b/>
          <w:bCs/>
          <w:sz w:val="28"/>
          <w:szCs w:val="28"/>
        </w:rPr>
        <w:t>TDSB Public Reports with RBH Portal Data 2018-2023</w:t>
      </w:r>
    </w:p>
    <w:p w14:paraId="5BF4A1E8" w14:textId="77777777" w:rsidR="00AE638E" w:rsidRPr="00B77CCC" w:rsidRDefault="00000000">
      <w:pPr>
        <w:rPr>
          <w:rFonts w:ascii="Arial" w:hAnsi="Arial" w:cs="Arial"/>
          <w:sz w:val="24"/>
          <w:szCs w:val="24"/>
        </w:rPr>
      </w:pPr>
      <w:hyperlink r:id="rId7" w:history="1">
        <w:r w:rsidR="005E040C" w:rsidRPr="00B77CCC">
          <w:rPr>
            <w:rStyle w:val="Hyperlink"/>
            <w:rFonts w:ascii="Arial" w:hAnsi="Arial" w:cs="Arial"/>
            <w:sz w:val="24"/>
            <w:szCs w:val="24"/>
          </w:rPr>
          <w:t xml:space="preserve">Fall 2023 Update on Responding to Incidents of Racism, Bias and Hate </w:t>
        </w:r>
      </w:hyperlink>
      <w:r w:rsidR="005E040C" w:rsidRPr="00B77CCC">
        <w:rPr>
          <w:rFonts w:ascii="Arial" w:hAnsi="Arial" w:cs="Arial"/>
          <w:sz w:val="24"/>
          <w:szCs w:val="24"/>
        </w:rPr>
        <w:t xml:space="preserve"> February 21, 2024</w:t>
      </w:r>
    </w:p>
    <w:p w14:paraId="08A517FD" w14:textId="77777777" w:rsidR="00B4300A" w:rsidRDefault="005E040C">
      <w:pPr>
        <w:rPr>
          <w:rFonts w:ascii="Arial" w:hAnsi="Arial" w:cs="Arial"/>
          <w:sz w:val="24"/>
          <w:szCs w:val="24"/>
        </w:rPr>
      </w:pPr>
      <w:r w:rsidRPr="00B77CCC">
        <w:rPr>
          <w:rFonts w:ascii="Arial" w:hAnsi="Arial" w:cs="Arial"/>
          <w:sz w:val="24"/>
          <w:szCs w:val="24"/>
        </w:rPr>
        <w:t xml:space="preserve">The Summary of Findings, September to December 2023 </w:t>
      </w:r>
    </w:p>
    <w:p w14:paraId="52F42C81" w14:textId="3164F203" w:rsidR="005E040C" w:rsidRPr="00B77CCC" w:rsidRDefault="005E040C">
      <w:pPr>
        <w:rPr>
          <w:rFonts w:ascii="Arial" w:hAnsi="Arial" w:cs="Arial"/>
          <w:sz w:val="24"/>
          <w:szCs w:val="24"/>
        </w:rPr>
      </w:pPr>
      <w:r w:rsidRPr="00B77CCC">
        <w:rPr>
          <w:rFonts w:ascii="Arial" w:hAnsi="Arial" w:cs="Arial"/>
          <w:sz w:val="24"/>
          <w:szCs w:val="24"/>
        </w:rPr>
        <w:t xml:space="preserve">This is a report about incidents of racism, bias and hate reported, recorded and addressed under Operational Procedure 728: Reporting and Responding to Racism and Hate Incidents Involving or Impacting Students in Schools, from September to December 2023. The summary findings of this data snapshot are in Appendix A. </w:t>
      </w:r>
    </w:p>
    <w:p w14:paraId="7C5C27ED" w14:textId="77777777" w:rsidR="005E040C" w:rsidRPr="00B77CCC" w:rsidRDefault="005E040C">
      <w:pPr>
        <w:rPr>
          <w:rFonts w:ascii="Arial" w:hAnsi="Arial" w:cs="Arial"/>
          <w:sz w:val="24"/>
          <w:szCs w:val="24"/>
        </w:rPr>
      </w:pPr>
      <w:r w:rsidRPr="00B77CCC">
        <w:rPr>
          <w:rFonts w:ascii="Arial" w:hAnsi="Arial" w:cs="Arial"/>
          <w:sz w:val="24"/>
          <w:szCs w:val="24"/>
        </w:rPr>
        <w:t xml:space="preserve">The following points are illustrated within the data: </w:t>
      </w:r>
    </w:p>
    <w:p w14:paraId="7674B1D8" w14:textId="77777777" w:rsidR="005E040C" w:rsidRPr="00B77CCC" w:rsidRDefault="005E040C">
      <w:pPr>
        <w:rPr>
          <w:rFonts w:ascii="Arial" w:hAnsi="Arial" w:cs="Arial"/>
          <w:sz w:val="24"/>
          <w:szCs w:val="24"/>
        </w:rPr>
      </w:pPr>
      <w:r w:rsidRPr="00B77CCC">
        <w:rPr>
          <w:rFonts w:ascii="Arial" w:hAnsi="Arial" w:cs="Arial"/>
          <w:sz w:val="24"/>
          <w:szCs w:val="24"/>
        </w:rPr>
        <w:t xml:space="preserve">● Compared to last year during the same period, there has been an increase in incidents that have been recorded in schools this year. </w:t>
      </w:r>
      <w:r w:rsidRPr="00B77CCC">
        <w:rPr>
          <w:rFonts w:ascii="Arial" w:hAnsi="Arial" w:cs="Arial"/>
          <w:sz w:val="24"/>
          <w:szCs w:val="24"/>
          <w:highlight w:val="yellow"/>
        </w:rPr>
        <w:t>At the time of this update, 211 more incidents were addressed than last year, and the number this year is 458. This represents 0.2% of the total student population in the TDSB.</w:t>
      </w:r>
      <w:r w:rsidRPr="00B77CCC">
        <w:rPr>
          <w:rFonts w:ascii="Arial" w:hAnsi="Arial" w:cs="Arial"/>
          <w:sz w:val="24"/>
          <w:szCs w:val="24"/>
        </w:rPr>
        <w:t xml:space="preserve">  </w:t>
      </w:r>
    </w:p>
    <w:p w14:paraId="75D7AA52" w14:textId="77777777" w:rsidR="005E040C" w:rsidRPr="00B77CCC" w:rsidRDefault="005E040C">
      <w:pPr>
        <w:rPr>
          <w:rFonts w:ascii="Arial" w:hAnsi="Arial" w:cs="Arial"/>
          <w:sz w:val="24"/>
          <w:szCs w:val="24"/>
        </w:rPr>
      </w:pPr>
      <w:r w:rsidRPr="00B77CCC">
        <w:rPr>
          <w:rFonts w:ascii="Arial" w:hAnsi="Arial" w:cs="Arial"/>
          <w:sz w:val="24"/>
          <w:szCs w:val="24"/>
        </w:rPr>
        <w:t xml:space="preserve">● 81% of incidents are slurs/comments and 36% of incidents occurred at least partly in the classroom. </w:t>
      </w:r>
    </w:p>
    <w:p w14:paraId="6DADF98E" w14:textId="77777777" w:rsidR="005E040C" w:rsidRPr="00B77CCC" w:rsidRDefault="005E040C">
      <w:pPr>
        <w:rPr>
          <w:rFonts w:ascii="Arial" w:hAnsi="Arial" w:cs="Arial"/>
          <w:sz w:val="24"/>
          <w:szCs w:val="24"/>
        </w:rPr>
      </w:pPr>
      <w:r w:rsidRPr="00B77CCC">
        <w:rPr>
          <w:rFonts w:ascii="Arial" w:hAnsi="Arial" w:cs="Arial"/>
          <w:sz w:val="24"/>
          <w:szCs w:val="24"/>
        </w:rPr>
        <w:t xml:space="preserve">● 80% of incidents involved racism. </w:t>
      </w:r>
    </w:p>
    <w:p w14:paraId="464BC0D6" w14:textId="77777777" w:rsidR="005E040C" w:rsidRPr="00B77CCC" w:rsidRDefault="005E040C">
      <w:pPr>
        <w:rPr>
          <w:rFonts w:ascii="Arial" w:hAnsi="Arial" w:cs="Arial"/>
          <w:sz w:val="24"/>
          <w:szCs w:val="24"/>
        </w:rPr>
      </w:pPr>
      <w:r w:rsidRPr="00B77CCC">
        <w:rPr>
          <w:rFonts w:ascii="Arial" w:hAnsi="Arial" w:cs="Arial"/>
          <w:sz w:val="24"/>
          <w:szCs w:val="24"/>
        </w:rPr>
        <w:t xml:space="preserve">● As was the case last year, </w:t>
      </w:r>
      <w:proofErr w:type="gramStart"/>
      <w:r w:rsidRPr="00B77CCC">
        <w:rPr>
          <w:rFonts w:ascii="Arial" w:hAnsi="Arial" w:cs="Arial"/>
          <w:sz w:val="24"/>
          <w:szCs w:val="24"/>
        </w:rPr>
        <w:t>the vast majority of</w:t>
      </w:r>
      <w:proofErr w:type="gramEnd"/>
      <w:r w:rsidRPr="00B77CCC">
        <w:rPr>
          <w:rFonts w:ascii="Arial" w:hAnsi="Arial" w:cs="Arial"/>
          <w:sz w:val="24"/>
          <w:szCs w:val="24"/>
        </w:rPr>
        <w:t xml:space="preserve"> reported incidents involve anti-Black racism. </w:t>
      </w:r>
    </w:p>
    <w:p w14:paraId="63319C25" w14:textId="77777777" w:rsidR="005E040C" w:rsidRPr="00B77CCC" w:rsidRDefault="005E040C">
      <w:pPr>
        <w:rPr>
          <w:rFonts w:ascii="Arial" w:hAnsi="Arial" w:cs="Arial"/>
          <w:sz w:val="24"/>
          <w:szCs w:val="24"/>
        </w:rPr>
      </w:pPr>
      <w:r w:rsidRPr="00B77CCC">
        <w:rPr>
          <w:rFonts w:ascii="Arial" w:hAnsi="Arial" w:cs="Arial"/>
          <w:sz w:val="24"/>
          <w:szCs w:val="24"/>
        </w:rPr>
        <w:t xml:space="preserve">● </w:t>
      </w:r>
      <w:r w:rsidRPr="00B77CCC">
        <w:rPr>
          <w:rFonts w:ascii="Arial" w:hAnsi="Arial" w:cs="Arial"/>
          <w:sz w:val="24"/>
          <w:szCs w:val="24"/>
          <w:highlight w:val="yellow"/>
        </w:rPr>
        <w:t>The proportion of incidents that involved antisemitism has increased by 5 percentage points from 10 to 15%</w:t>
      </w:r>
      <w:r w:rsidRPr="00B77CCC">
        <w:rPr>
          <w:rFonts w:ascii="Arial" w:hAnsi="Arial" w:cs="Arial"/>
          <w:sz w:val="24"/>
          <w:szCs w:val="24"/>
        </w:rPr>
        <w:t xml:space="preserve"> and there has been an increase in anti-East Asian racism of 4 percentage points from 6% to 10%. </w:t>
      </w:r>
    </w:p>
    <w:p w14:paraId="01401F72" w14:textId="77777777" w:rsidR="005E040C" w:rsidRPr="00B77CCC" w:rsidRDefault="005E040C">
      <w:pPr>
        <w:rPr>
          <w:rFonts w:ascii="Arial" w:hAnsi="Arial" w:cs="Arial"/>
          <w:sz w:val="24"/>
          <w:szCs w:val="24"/>
        </w:rPr>
      </w:pPr>
      <w:r w:rsidRPr="00B77CCC">
        <w:rPr>
          <w:rFonts w:ascii="Arial" w:hAnsi="Arial" w:cs="Arial"/>
          <w:sz w:val="24"/>
          <w:szCs w:val="24"/>
        </w:rPr>
        <w:t>● Islamophobia and anti-Middle Eastern racism each make up 4% of the incidents</w:t>
      </w:r>
    </w:p>
    <w:p w14:paraId="14031063" w14:textId="77777777" w:rsidR="005E040C" w:rsidRPr="00B77CCC" w:rsidRDefault="005E040C">
      <w:pPr>
        <w:rPr>
          <w:rFonts w:ascii="Arial" w:hAnsi="Arial" w:cs="Arial"/>
          <w:sz w:val="24"/>
          <w:szCs w:val="24"/>
        </w:rPr>
      </w:pPr>
      <w:r w:rsidRPr="00B77CCC">
        <w:rPr>
          <w:rFonts w:ascii="Arial" w:hAnsi="Arial" w:cs="Arial"/>
          <w:sz w:val="24"/>
          <w:szCs w:val="24"/>
        </w:rPr>
        <w:t xml:space="preserve">Summary of Findings </w:t>
      </w:r>
    </w:p>
    <w:p w14:paraId="549873BE" w14:textId="77777777" w:rsidR="005E040C" w:rsidRPr="00B77CCC" w:rsidRDefault="005E040C">
      <w:pPr>
        <w:rPr>
          <w:rFonts w:ascii="Arial" w:hAnsi="Arial" w:cs="Arial"/>
          <w:sz w:val="24"/>
          <w:szCs w:val="24"/>
        </w:rPr>
      </w:pPr>
      <w:r w:rsidRPr="00B77CCC">
        <w:rPr>
          <w:rFonts w:ascii="Arial" w:hAnsi="Arial" w:cs="Arial"/>
          <w:sz w:val="24"/>
          <w:szCs w:val="24"/>
        </w:rPr>
        <w:t xml:space="preserve">● There were 458 total closed1 incidents processed by schools. This represents 0.2% of the total student population in the TDSB. It is an increase from the previous year over the same period by 211 incidents. </w:t>
      </w:r>
    </w:p>
    <w:p w14:paraId="779D13D4" w14:textId="77777777" w:rsidR="005E040C" w:rsidRPr="00B77CCC" w:rsidRDefault="005E040C">
      <w:pPr>
        <w:rPr>
          <w:rFonts w:ascii="Arial" w:hAnsi="Arial" w:cs="Arial"/>
          <w:sz w:val="24"/>
          <w:szCs w:val="24"/>
        </w:rPr>
      </w:pPr>
      <w:r w:rsidRPr="00B77CCC">
        <w:rPr>
          <w:rFonts w:ascii="Arial" w:hAnsi="Arial" w:cs="Arial"/>
          <w:sz w:val="24"/>
          <w:szCs w:val="24"/>
        </w:rPr>
        <w:t xml:space="preserve">● The majority (81%) of the incidents involved comments or slurs (Figure One). </w:t>
      </w:r>
    </w:p>
    <w:p w14:paraId="600E9F67" w14:textId="77777777" w:rsidR="005E040C" w:rsidRPr="00B77CCC" w:rsidRDefault="005E040C">
      <w:pPr>
        <w:rPr>
          <w:rFonts w:ascii="Arial" w:hAnsi="Arial" w:cs="Arial"/>
          <w:sz w:val="24"/>
          <w:szCs w:val="24"/>
        </w:rPr>
      </w:pPr>
      <w:r w:rsidRPr="00B77CCC">
        <w:rPr>
          <w:rFonts w:ascii="Arial" w:hAnsi="Arial" w:cs="Arial"/>
          <w:sz w:val="24"/>
          <w:szCs w:val="24"/>
        </w:rPr>
        <w:t>● Over one-third of incidents were reported as occurring in the classroom. This represents a decrease of 8 percent from incidents occurring in the classroom over the same period last year (Figure Two). The term ‘closed’ means the incident was recorded and concluded or addressed in accordance with Board procedure PR728.</w:t>
      </w:r>
    </w:p>
    <w:p w14:paraId="2C062822" w14:textId="77777777" w:rsidR="005E040C" w:rsidRPr="00B77CCC" w:rsidRDefault="005E040C">
      <w:pPr>
        <w:rPr>
          <w:rFonts w:ascii="Arial" w:hAnsi="Arial" w:cs="Arial"/>
          <w:sz w:val="24"/>
          <w:szCs w:val="24"/>
        </w:rPr>
      </w:pPr>
      <w:r w:rsidRPr="00B77CCC">
        <w:rPr>
          <w:rFonts w:ascii="Arial" w:hAnsi="Arial" w:cs="Arial"/>
          <w:noProof/>
          <w:sz w:val="24"/>
          <w:szCs w:val="24"/>
        </w:rPr>
        <w:lastRenderedPageBreak/>
        <w:drawing>
          <wp:inline distT="0" distB="0" distL="0" distR="0" wp14:anchorId="40AEAF70" wp14:editId="088D27BE">
            <wp:extent cx="2965450" cy="2145219"/>
            <wp:effectExtent l="0" t="0" r="635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28206" t="39886" r="31623" b="4762"/>
                    <a:stretch/>
                  </pic:blipFill>
                  <pic:spPr bwMode="auto">
                    <a:xfrm>
                      <a:off x="0" y="0"/>
                      <a:ext cx="2966884" cy="2146256"/>
                    </a:xfrm>
                    <a:prstGeom prst="rect">
                      <a:avLst/>
                    </a:prstGeom>
                    <a:ln>
                      <a:noFill/>
                    </a:ln>
                    <a:extLst>
                      <a:ext uri="{53640926-AAD7-44D8-BBD7-CCE9431645EC}">
                        <a14:shadowObscured xmlns:a14="http://schemas.microsoft.com/office/drawing/2010/main"/>
                      </a:ext>
                    </a:extLst>
                  </pic:spPr>
                </pic:pic>
              </a:graphicData>
            </a:graphic>
          </wp:inline>
        </w:drawing>
      </w:r>
      <w:r w:rsidR="0089161C" w:rsidRPr="00B77CCC">
        <w:rPr>
          <w:rFonts w:ascii="Arial" w:hAnsi="Arial" w:cs="Arial"/>
          <w:noProof/>
          <w:sz w:val="24"/>
          <w:szCs w:val="24"/>
        </w:rPr>
        <w:drawing>
          <wp:inline distT="0" distB="0" distL="0" distR="0" wp14:anchorId="2A3A6583" wp14:editId="1D5522FE">
            <wp:extent cx="3742427" cy="2609850"/>
            <wp:effectExtent l="0" t="0" r="0" b="0"/>
            <wp:docPr id="6" name="Picture 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omputer&#10;&#10;Description automatically generated"/>
                    <pic:cNvPicPr/>
                  </pic:nvPicPr>
                  <pic:blipFill rotWithShape="1">
                    <a:blip r:embed="rId9">
                      <a:extLst>
                        <a:ext uri="{28A0092B-C50C-407E-A947-70E740481C1C}">
                          <a14:useLocalDpi xmlns:a14="http://schemas.microsoft.com/office/drawing/2010/main" val="0"/>
                        </a:ext>
                      </a:extLst>
                    </a:blip>
                    <a:srcRect l="27779" t="28664" r="31623" b="17463"/>
                    <a:stretch/>
                  </pic:blipFill>
                  <pic:spPr bwMode="auto">
                    <a:xfrm>
                      <a:off x="0" y="0"/>
                      <a:ext cx="3765133" cy="2625685"/>
                    </a:xfrm>
                    <a:prstGeom prst="rect">
                      <a:avLst/>
                    </a:prstGeom>
                    <a:ln>
                      <a:noFill/>
                    </a:ln>
                    <a:extLst>
                      <a:ext uri="{53640926-AAD7-44D8-BBD7-CCE9431645EC}">
                        <a14:shadowObscured xmlns:a14="http://schemas.microsoft.com/office/drawing/2010/main"/>
                      </a:ext>
                    </a:extLst>
                  </pic:spPr>
                </pic:pic>
              </a:graphicData>
            </a:graphic>
          </wp:inline>
        </w:drawing>
      </w:r>
    </w:p>
    <w:p w14:paraId="033E618B" w14:textId="77777777" w:rsidR="005E040C" w:rsidRPr="00B77CCC" w:rsidRDefault="005E040C">
      <w:pPr>
        <w:rPr>
          <w:rFonts w:ascii="Arial" w:hAnsi="Arial" w:cs="Arial"/>
          <w:sz w:val="24"/>
          <w:szCs w:val="24"/>
        </w:rPr>
      </w:pPr>
      <w:r w:rsidRPr="00B77CCC">
        <w:rPr>
          <w:rFonts w:ascii="Arial" w:hAnsi="Arial" w:cs="Arial"/>
          <w:noProof/>
          <w:sz w:val="24"/>
          <w:szCs w:val="24"/>
        </w:rPr>
        <w:drawing>
          <wp:inline distT="0" distB="0" distL="0" distR="0" wp14:anchorId="662C19ED" wp14:editId="44EB8704">
            <wp:extent cx="3797300" cy="2512641"/>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28739" t="42938" r="28312" b="2931"/>
                    <a:stretch/>
                  </pic:blipFill>
                  <pic:spPr bwMode="auto">
                    <a:xfrm>
                      <a:off x="0" y="0"/>
                      <a:ext cx="3803664" cy="2516852"/>
                    </a:xfrm>
                    <a:prstGeom prst="rect">
                      <a:avLst/>
                    </a:prstGeom>
                    <a:ln>
                      <a:noFill/>
                    </a:ln>
                    <a:extLst>
                      <a:ext uri="{53640926-AAD7-44D8-BBD7-CCE9431645EC}">
                        <a14:shadowObscured xmlns:a14="http://schemas.microsoft.com/office/drawing/2010/main"/>
                      </a:ext>
                    </a:extLst>
                  </pic:spPr>
                </pic:pic>
              </a:graphicData>
            </a:graphic>
          </wp:inline>
        </w:drawing>
      </w:r>
    </w:p>
    <w:p w14:paraId="0B30C606" w14:textId="77777777" w:rsidR="0089161C" w:rsidRPr="00B77CCC" w:rsidRDefault="0089161C">
      <w:pPr>
        <w:rPr>
          <w:rFonts w:ascii="Arial" w:hAnsi="Arial" w:cs="Arial"/>
          <w:sz w:val="24"/>
          <w:szCs w:val="24"/>
        </w:rPr>
      </w:pPr>
      <w:r w:rsidRPr="00B77CCC">
        <w:rPr>
          <w:rFonts w:ascii="Arial" w:hAnsi="Arial" w:cs="Arial"/>
          <w:noProof/>
          <w:sz w:val="24"/>
          <w:szCs w:val="24"/>
        </w:rPr>
        <w:lastRenderedPageBreak/>
        <w:drawing>
          <wp:inline distT="0" distB="0" distL="0" distR="0" wp14:anchorId="1AA79034" wp14:editId="2953D603">
            <wp:extent cx="3517900" cy="2566408"/>
            <wp:effectExtent l="0" t="0" r="6350" b="5715"/>
            <wp:docPr id="7" name="Picture 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computer&#10;&#10;Description automatically generated"/>
                    <pic:cNvPicPr/>
                  </pic:nvPicPr>
                  <pic:blipFill rotWithShape="1">
                    <a:blip r:embed="rId11">
                      <a:extLst>
                        <a:ext uri="{28A0092B-C50C-407E-A947-70E740481C1C}">
                          <a14:useLocalDpi xmlns:a14="http://schemas.microsoft.com/office/drawing/2010/main" val="0"/>
                        </a:ext>
                      </a:extLst>
                    </a:blip>
                    <a:srcRect l="27243" t="35373" r="29701" b="4859"/>
                    <a:stretch/>
                  </pic:blipFill>
                  <pic:spPr bwMode="auto">
                    <a:xfrm>
                      <a:off x="0" y="0"/>
                      <a:ext cx="3525130" cy="2571683"/>
                    </a:xfrm>
                    <a:prstGeom prst="rect">
                      <a:avLst/>
                    </a:prstGeom>
                    <a:ln>
                      <a:noFill/>
                    </a:ln>
                    <a:extLst>
                      <a:ext uri="{53640926-AAD7-44D8-BBD7-CCE9431645EC}">
                        <a14:shadowObscured xmlns:a14="http://schemas.microsoft.com/office/drawing/2010/main"/>
                      </a:ext>
                    </a:extLst>
                  </pic:spPr>
                </pic:pic>
              </a:graphicData>
            </a:graphic>
          </wp:inline>
        </w:drawing>
      </w:r>
    </w:p>
    <w:p w14:paraId="69299452" w14:textId="77777777" w:rsidR="006E171A" w:rsidRPr="00B77CCC" w:rsidRDefault="006E171A">
      <w:pPr>
        <w:rPr>
          <w:rFonts w:ascii="Arial" w:hAnsi="Arial" w:cs="Arial"/>
          <w:sz w:val="24"/>
          <w:szCs w:val="24"/>
        </w:rPr>
      </w:pPr>
    </w:p>
    <w:p w14:paraId="7B2BEAD6" w14:textId="77777777" w:rsidR="006E171A" w:rsidRPr="00B77CCC" w:rsidRDefault="00000000">
      <w:pPr>
        <w:rPr>
          <w:rFonts w:ascii="Arial" w:hAnsi="Arial" w:cs="Arial"/>
          <w:sz w:val="24"/>
          <w:szCs w:val="24"/>
        </w:rPr>
      </w:pPr>
      <w:hyperlink r:id="rId12" w:history="1">
        <w:r w:rsidR="006E171A" w:rsidRPr="00B77CCC">
          <w:rPr>
            <w:rStyle w:val="Hyperlink"/>
            <w:rFonts w:ascii="Arial" w:hAnsi="Arial" w:cs="Arial"/>
            <w:sz w:val="24"/>
            <w:szCs w:val="24"/>
          </w:rPr>
          <w:t>Human Rights Office, Annual Report, 2022-2023</w:t>
        </w:r>
      </w:hyperlink>
      <w:r w:rsidR="006E171A" w:rsidRPr="00B77CCC">
        <w:rPr>
          <w:rFonts w:ascii="Arial" w:hAnsi="Arial" w:cs="Arial"/>
          <w:sz w:val="24"/>
          <w:szCs w:val="24"/>
        </w:rPr>
        <w:t xml:space="preserve"> May 15, 2024</w:t>
      </w:r>
    </w:p>
    <w:p w14:paraId="5EDD1B96" w14:textId="77777777" w:rsidR="006E171A" w:rsidRPr="00B77CCC" w:rsidRDefault="006E171A">
      <w:pPr>
        <w:rPr>
          <w:rFonts w:ascii="Arial" w:hAnsi="Arial" w:cs="Arial"/>
          <w:sz w:val="24"/>
          <w:szCs w:val="24"/>
        </w:rPr>
      </w:pPr>
      <w:r w:rsidRPr="00B77CCC">
        <w:rPr>
          <w:rFonts w:ascii="Arial" w:hAnsi="Arial" w:cs="Arial"/>
          <w:sz w:val="24"/>
          <w:szCs w:val="24"/>
        </w:rPr>
        <w:t xml:space="preserve">Student Demographics at TDSB The Student Census of 2023 demonstrates that the TDSB is one of the most diverse student populations in Canada.  The identity categories are in alignment with the Anti-Racism Data Standards. </w:t>
      </w:r>
    </w:p>
    <w:p w14:paraId="63782F78" w14:textId="77777777" w:rsidR="006E171A" w:rsidRPr="00B77CCC" w:rsidRDefault="006E171A">
      <w:pPr>
        <w:rPr>
          <w:rFonts w:ascii="Arial" w:hAnsi="Arial" w:cs="Arial"/>
          <w:sz w:val="24"/>
          <w:szCs w:val="24"/>
        </w:rPr>
      </w:pPr>
      <w:r w:rsidRPr="00B77CCC">
        <w:rPr>
          <w:rFonts w:ascii="Arial" w:hAnsi="Arial" w:cs="Arial"/>
          <w:sz w:val="24"/>
          <w:szCs w:val="24"/>
        </w:rPr>
        <w:t xml:space="preserve">• 36.8% of the students identify as White. </w:t>
      </w:r>
    </w:p>
    <w:p w14:paraId="14C1F09A" w14:textId="77777777" w:rsidR="006E171A" w:rsidRPr="00B77CCC" w:rsidRDefault="006E171A">
      <w:pPr>
        <w:rPr>
          <w:rFonts w:ascii="Arial" w:hAnsi="Arial" w:cs="Arial"/>
          <w:sz w:val="24"/>
          <w:szCs w:val="24"/>
        </w:rPr>
      </w:pPr>
      <w:r w:rsidRPr="00B77CCC">
        <w:rPr>
          <w:rFonts w:ascii="Arial" w:hAnsi="Arial" w:cs="Arial"/>
          <w:sz w:val="24"/>
          <w:szCs w:val="24"/>
        </w:rPr>
        <w:t xml:space="preserve">• 7 out of 10 students identify with a racialized group and included those identifying as South Asian (21.8%), East Asian (18%), Black (13.3%), Middle Eastern (8.9%), Southeast Asian (6.9%) and Latino/a/x (4.7%). </w:t>
      </w:r>
    </w:p>
    <w:p w14:paraId="6F380DE6" w14:textId="77777777" w:rsidR="006E171A" w:rsidRPr="00B77CCC" w:rsidRDefault="006E171A">
      <w:pPr>
        <w:rPr>
          <w:rFonts w:ascii="Arial" w:hAnsi="Arial" w:cs="Arial"/>
          <w:sz w:val="24"/>
          <w:szCs w:val="24"/>
        </w:rPr>
      </w:pPr>
      <w:r w:rsidRPr="00B77CCC">
        <w:rPr>
          <w:rFonts w:ascii="Arial" w:hAnsi="Arial" w:cs="Arial"/>
          <w:sz w:val="24"/>
          <w:szCs w:val="24"/>
        </w:rPr>
        <w:t xml:space="preserve">• 1.2% of students reported Indigenous Identity.  (Students could have reported Indigenous identity in more than one question on the Census. Further analyses with the Urban Indigenous Education Centre are yet to be undertaken with respect to how to calculate the total number of students who self-identified as Indigenous on the Student Census. It is important to note, the actual number of Indigenous students in the TDSB is likely much higher than what is reported in the Census). </w:t>
      </w:r>
    </w:p>
    <w:p w14:paraId="547A151C" w14:textId="77777777" w:rsidR="006E171A" w:rsidRPr="00B77CCC" w:rsidRDefault="006E171A">
      <w:pPr>
        <w:rPr>
          <w:rFonts w:ascii="Arial" w:hAnsi="Arial" w:cs="Arial"/>
          <w:sz w:val="24"/>
          <w:szCs w:val="24"/>
        </w:rPr>
      </w:pPr>
      <w:r w:rsidRPr="00B77CCC">
        <w:rPr>
          <w:rFonts w:ascii="Arial" w:hAnsi="Arial" w:cs="Arial"/>
          <w:sz w:val="24"/>
          <w:szCs w:val="24"/>
        </w:rPr>
        <w:t>• 3.4% of students identify a gender identity(</w:t>
      </w:r>
      <w:proofErr w:type="spellStart"/>
      <w:r w:rsidRPr="00B77CCC">
        <w:rPr>
          <w:rFonts w:ascii="Arial" w:hAnsi="Arial" w:cs="Arial"/>
          <w:sz w:val="24"/>
          <w:szCs w:val="24"/>
        </w:rPr>
        <w:t>ies</w:t>
      </w:r>
      <w:proofErr w:type="spellEnd"/>
      <w:r w:rsidRPr="00B77CCC">
        <w:rPr>
          <w:rFonts w:ascii="Arial" w:hAnsi="Arial" w:cs="Arial"/>
          <w:sz w:val="24"/>
          <w:szCs w:val="24"/>
        </w:rPr>
        <w:t xml:space="preserve">) outside of the gender binary. 14.4% of grade 7 to 12 students identify as part of the 2SLGBTQIA+ communities. </w:t>
      </w:r>
    </w:p>
    <w:p w14:paraId="6A88A404" w14:textId="77777777" w:rsidR="006E171A" w:rsidRPr="00B77CCC" w:rsidRDefault="006E171A">
      <w:pPr>
        <w:rPr>
          <w:rFonts w:ascii="Arial" w:hAnsi="Arial" w:cs="Arial"/>
          <w:sz w:val="24"/>
          <w:szCs w:val="24"/>
        </w:rPr>
      </w:pPr>
      <w:r w:rsidRPr="00B77CCC">
        <w:rPr>
          <w:rFonts w:ascii="Arial" w:hAnsi="Arial" w:cs="Arial"/>
          <w:sz w:val="24"/>
          <w:szCs w:val="24"/>
        </w:rPr>
        <w:t xml:space="preserve">• Over one-quarter of students report that religion is not a part of their life. Those students who identified with a religion or spirituality include Christian (28.6%), Muslim (18.4%), and Hindu (10.1%), Spiritual but not religious (5.6%), </w:t>
      </w:r>
      <w:r w:rsidRPr="00B77CCC">
        <w:rPr>
          <w:rFonts w:ascii="Arial" w:hAnsi="Arial" w:cs="Arial"/>
          <w:sz w:val="24"/>
          <w:szCs w:val="24"/>
          <w:highlight w:val="yellow"/>
        </w:rPr>
        <w:t>Jewish (3.5%)</w:t>
      </w:r>
      <w:r w:rsidRPr="00B77CCC">
        <w:rPr>
          <w:rFonts w:ascii="Arial" w:hAnsi="Arial" w:cs="Arial"/>
          <w:sz w:val="24"/>
          <w:szCs w:val="24"/>
        </w:rPr>
        <w:t xml:space="preserve">, Buddhist (3.4%), Sikh (0.9%) and Indigenous Spirituality (0.4%).  </w:t>
      </w:r>
    </w:p>
    <w:p w14:paraId="17092D49" w14:textId="77777777" w:rsidR="006E171A" w:rsidRPr="00B77CCC" w:rsidRDefault="006E171A">
      <w:pPr>
        <w:rPr>
          <w:rFonts w:ascii="Arial" w:hAnsi="Arial" w:cs="Arial"/>
          <w:sz w:val="24"/>
          <w:szCs w:val="24"/>
        </w:rPr>
      </w:pPr>
      <w:r w:rsidRPr="00B77CCC">
        <w:rPr>
          <w:rFonts w:ascii="Arial" w:hAnsi="Arial" w:cs="Arial"/>
          <w:sz w:val="24"/>
          <w:szCs w:val="24"/>
        </w:rPr>
        <w:t>• 8% of students identify as having a disability or disabilities. (It should be noted that students’ perception of disability does not necessarily correspond to Special Education data).</w:t>
      </w:r>
    </w:p>
    <w:p w14:paraId="561AF859" w14:textId="77777777" w:rsidR="006E171A" w:rsidRPr="00B77CCC" w:rsidRDefault="006E171A">
      <w:pPr>
        <w:rPr>
          <w:rFonts w:ascii="Arial" w:hAnsi="Arial" w:cs="Arial"/>
          <w:sz w:val="24"/>
          <w:szCs w:val="24"/>
        </w:rPr>
      </w:pPr>
    </w:p>
    <w:p w14:paraId="63B65C53" w14:textId="77777777" w:rsidR="006E171A" w:rsidRPr="00B77CCC" w:rsidRDefault="006E171A">
      <w:pPr>
        <w:rPr>
          <w:rFonts w:ascii="Arial" w:hAnsi="Arial" w:cs="Arial"/>
          <w:sz w:val="24"/>
          <w:szCs w:val="24"/>
        </w:rPr>
      </w:pPr>
      <w:r w:rsidRPr="00B77CCC">
        <w:rPr>
          <w:rFonts w:ascii="Arial" w:hAnsi="Arial" w:cs="Arial"/>
          <w:sz w:val="24"/>
          <w:szCs w:val="24"/>
        </w:rPr>
        <w:t xml:space="preserve">Data from the Racism, Bias, and Hate Portal shows </w:t>
      </w:r>
      <w:r w:rsidRPr="00B77CCC">
        <w:rPr>
          <w:rFonts w:ascii="Arial" w:hAnsi="Arial" w:cs="Arial"/>
          <w:sz w:val="24"/>
          <w:szCs w:val="24"/>
          <w:highlight w:val="yellow"/>
        </w:rPr>
        <w:t>2,028 reported incidents were logged between September 1, 2022, and August 31, 2023.</w:t>
      </w:r>
      <w:r w:rsidRPr="00B77CCC">
        <w:rPr>
          <w:rFonts w:ascii="Arial" w:hAnsi="Arial" w:cs="Arial"/>
          <w:sz w:val="24"/>
          <w:szCs w:val="24"/>
        </w:rPr>
        <w:t xml:space="preserve"> In a school system of over </w:t>
      </w:r>
      <w:r w:rsidRPr="00B77CCC">
        <w:rPr>
          <w:rFonts w:ascii="Arial" w:hAnsi="Arial" w:cs="Arial"/>
          <w:sz w:val="24"/>
          <w:szCs w:val="24"/>
          <w:highlight w:val="yellow"/>
        </w:rPr>
        <w:t>238,000 students</w:t>
      </w:r>
      <w:r w:rsidRPr="00B77CCC">
        <w:rPr>
          <w:rFonts w:ascii="Arial" w:hAnsi="Arial" w:cs="Arial"/>
          <w:sz w:val="24"/>
          <w:szCs w:val="24"/>
        </w:rPr>
        <w:t xml:space="preserve">, the number of logged incidents during the 2022-23 school year equates to less than 1% of the student population. </w:t>
      </w:r>
    </w:p>
    <w:p w14:paraId="6600CEDE" w14:textId="77777777" w:rsidR="006E171A" w:rsidRPr="00B77CCC" w:rsidRDefault="006E171A">
      <w:pPr>
        <w:rPr>
          <w:rFonts w:ascii="Arial" w:hAnsi="Arial" w:cs="Arial"/>
          <w:sz w:val="24"/>
          <w:szCs w:val="24"/>
        </w:rPr>
      </w:pPr>
      <w:r w:rsidRPr="00B77CCC">
        <w:rPr>
          <w:rFonts w:ascii="Arial" w:hAnsi="Arial" w:cs="Arial"/>
          <w:sz w:val="24"/>
          <w:szCs w:val="24"/>
        </w:rPr>
        <w:t xml:space="preserve">It is acknowledged that for a variety of reasons the data indicates but is not a definitive picture of incidences of racism, hate or bias in schools. Indigenous people are often underrepresented in data reports because of historical and current issues, it is likely that they are underrepresented in the incident reports as well.  The work to support a respectful climate conducive for all remains a priority. </w:t>
      </w:r>
    </w:p>
    <w:p w14:paraId="480CF802" w14:textId="77777777" w:rsidR="006E171A" w:rsidRPr="00B77CCC" w:rsidRDefault="006E171A">
      <w:pPr>
        <w:rPr>
          <w:rFonts w:ascii="Arial" w:hAnsi="Arial" w:cs="Arial"/>
          <w:sz w:val="24"/>
          <w:szCs w:val="24"/>
        </w:rPr>
      </w:pPr>
      <w:r w:rsidRPr="00B77CCC">
        <w:rPr>
          <w:rFonts w:ascii="Arial" w:hAnsi="Arial" w:cs="Arial"/>
          <w:sz w:val="24"/>
          <w:szCs w:val="24"/>
        </w:rPr>
        <w:t xml:space="preserve">The TDSB has created an Anti-Hate and Anti-Racism strategy and is working on the development and delivery of initiatives to address all forms of racism, bias and hate in schools, in accordance with the commitments to human rights and equity and the MYSP.   </w:t>
      </w:r>
    </w:p>
    <w:p w14:paraId="34934B01" w14:textId="77777777" w:rsidR="006E171A" w:rsidRPr="00B77CCC" w:rsidRDefault="006E171A">
      <w:pPr>
        <w:rPr>
          <w:rFonts w:ascii="Arial" w:hAnsi="Arial" w:cs="Arial"/>
          <w:sz w:val="24"/>
          <w:szCs w:val="24"/>
        </w:rPr>
      </w:pPr>
      <w:r w:rsidRPr="00B77CCC">
        <w:rPr>
          <w:rFonts w:ascii="Arial" w:hAnsi="Arial" w:cs="Arial"/>
          <w:sz w:val="24"/>
          <w:szCs w:val="24"/>
        </w:rPr>
        <w:t xml:space="preserve">Table 9: RBH Incidents by Racial Groups </w:t>
      </w:r>
    </w:p>
    <w:p w14:paraId="11B13CE2" w14:textId="77777777" w:rsidR="006E171A" w:rsidRPr="00B77CCC" w:rsidRDefault="006E171A">
      <w:pPr>
        <w:rPr>
          <w:rFonts w:ascii="Arial" w:hAnsi="Arial" w:cs="Arial"/>
          <w:sz w:val="24"/>
          <w:szCs w:val="24"/>
        </w:rPr>
      </w:pPr>
      <w:r w:rsidRPr="00B77CCC">
        <w:rPr>
          <w:rFonts w:ascii="Arial" w:hAnsi="Arial" w:cs="Arial"/>
          <w:noProof/>
          <w:sz w:val="24"/>
          <w:szCs w:val="24"/>
        </w:rPr>
        <w:drawing>
          <wp:inline distT="0" distB="0" distL="0" distR="0" wp14:anchorId="1045F0A2" wp14:editId="662D2B86">
            <wp:extent cx="4027162" cy="1708150"/>
            <wp:effectExtent l="0" t="0" r="0"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28312" t="34392" r="33654" b="34880"/>
                    <a:stretch/>
                  </pic:blipFill>
                  <pic:spPr bwMode="auto">
                    <a:xfrm>
                      <a:off x="0" y="0"/>
                      <a:ext cx="4034149" cy="1711114"/>
                    </a:xfrm>
                    <a:prstGeom prst="rect">
                      <a:avLst/>
                    </a:prstGeom>
                    <a:ln>
                      <a:noFill/>
                    </a:ln>
                    <a:extLst>
                      <a:ext uri="{53640926-AAD7-44D8-BBD7-CCE9431645EC}">
                        <a14:shadowObscured xmlns:a14="http://schemas.microsoft.com/office/drawing/2010/main"/>
                      </a:ext>
                    </a:extLst>
                  </pic:spPr>
                </pic:pic>
              </a:graphicData>
            </a:graphic>
          </wp:inline>
        </w:drawing>
      </w:r>
    </w:p>
    <w:p w14:paraId="57796392" w14:textId="77777777" w:rsidR="006E171A" w:rsidRPr="00B77CCC" w:rsidRDefault="006E171A">
      <w:pPr>
        <w:rPr>
          <w:rFonts w:ascii="Arial" w:hAnsi="Arial" w:cs="Arial"/>
          <w:sz w:val="24"/>
          <w:szCs w:val="24"/>
        </w:rPr>
      </w:pPr>
      <w:r w:rsidRPr="00B77CCC">
        <w:rPr>
          <w:rFonts w:ascii="Arial" w:hAnsi="Arial" w:cs="Arial"/>
          <w:sz w:val="24"/>
          <w:szCs w:val="24"/>
        </w:rPr>
        <w:t>61% of the incidents involved anti-Black racism (Table 9). The next largest group involve incidents of racism towards East Asians (9% of all incidents). Compared to the previous year there is an increase in proportion of racism incidents towards Black Africans, Afro Caribbeans or African Canadians (+5%) and East Asians (+4%), while the overall number of reported cases has declined (-220).</w:t>
      </w:r>
    </w:p>
    <w:p w14:paraId="66EDBE17" w14:textId="77777777" w:rsidR="006E171A" w:rsidRPr="00B77CCC" w:rsidRDefault="006E171A">
      <w:pPr>
        <w:rPr>
          <w:rFonts w:ascii="Arial" w:hAnsi="Arial" w:cs="Arial"/>
          <w:sz w:val="24"/>
          <w:szCs w:val="24"/>
        </w:rPr>
      </w:pPr>
      <w:r w:rsidRPr="00B77CCC">
        <w:rPr>
          <w:rFonts w:ascii="Arial" w:hAnsi="Arial" w:cs="Arial"/>
          <w:noProof/>
          <w:sz w:val="24"/>
          <w:szCs w:val="24"/>
        </w:rPr>
        <w:drawing>
          <wp:inline distT="0" distB="0" distL="0" distR="0" wp14:anchorId="6DEBA81E" wp14:editId="049D6B15">
            <wp:extent cx="4406900" cy="134069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28419" t="47009" r="33654" b="31013"/>
                    <a:stretch/>
                  </pic:blipFill>
                  <pic:spPr bwMode="auto">
                    <a:xfrm>
                      <a:off x="0" y="0"/>
                      <a:ext cx="4425192" cy="1346256"/>
                    </a:xfrm>
                    <a:prstGeom prst="rect">
                      <a:avLst/>
                    </a:prstGeom>
                    <a:ln>
                      <a:noFill/>
                    </a:ln>
                    <a:extLst>
                      <a:ext uri="{53640926-AAD7-44D8-BBD7-CCE9431645EC}">
                        <a14:shadowObscured xmlns:a14="http://schemas.microsoft.com/office/drawing/2010/main"/>
                      </a:ext>
                    </a:extLst>
                  </pic:spPr>
                </pic:pic>
              </a:graphicData>
            </a:graphic>
          </wp:inline>
        </w:drawing>
      </w:r>
    </w:p>
    <w:p w14:paraId="49A26154" w14:textId="77777777" w:rsidR="006E171A" w:rsidRPr="00B77CCC" w:rsidRDefault="006E171A">
      <w:pPr>
        <w:rPr>
          <w:rFonts w:ascii="Arial" w:hAnsi="Arial" w:cs="Arial"/>
          <w:sz w:val="24"/>
          <w:szCs w:val="24"/>
        </w:rPr>
      </w:pPr>
      <w:r w:rsidRPr="00B77CCC">
        <w:rPr>
          <w:rFonts w:ascii="Arial" w:hAnsi="Arial" w:cs="Arial"/>
          <w:sz w:val="24"/>
          <w:szCs w:val="24"/>
        </w:rPr>
        <w:t xml:space="preserve">Overall, incidents due to creed/religion accounted for approximately 15% of all reported incidents, representing an increase of about +5% compared to the previous year. </w:t>
      </w:r>
      <w:r w:rsidRPr="00B77CCC">
        <w:rPr>
          <w:rFonts w:ascii="Arial" w:hAnsi="Arial" w:cs="Arial"/>
          <w:sz w:val="24"/>
          <w:szCs w:val="24"/>
          <w:highlight w:val="yellow"/>
        </w:rPr>
        <w:lastRenderedPageBreak/>
        <w:t>Antisemitism was reported the most frequently at 10%</w:t>
      </w:r>
      <w:r w:rsidRPr="00B77CCC">
        <w:rPr>
          <w:rFonts w:ascii="Arial" w:hAnsi="Arial" w:cs="Arial"/>
          <w:sz w:val="24"/>
          <w:szCs w:val="24"/>
        </w:rPr>
        <w:t xml:space="preserve"> followed by Islamophobia (5%) (Table 10). Few incidents targeted other creeds/religions, which were each under 1%. </w:t>
      </w:r>
      <w:r w:rsidRPr="00B77CCC">
        <w:rPr>
          <w:rFonts w:ascii="Arial" w:hAnsi="Arial" w:cs="Arial"/>
          <w:sz w:val="24"/>
          <w:szCs w:val="24"/>
          <w:highlight w:val="yellow"/>
        </w:rPr>
        <w:t>Both Antisemitism and Islamophobia increased in proportion from the previous year (+3% and +2% respectively).</w:t>
      </w:r>
    </w:p>
    <w:p w14:paraId="757CBFB6" w14:textId="77777777" w:rsidR="001870FA" w:rsidRPr="00B77CCC" w:rsidRDefault="001870FA">
      <w:pPr>
        <w:rPr>
          <w:rFonts w:ascii="Arial" w:hAnsi="Arial" w:cs="Arial"/>
          <w:sz w:val="24"/>
          <w:szCs w:val="24"/>
        </w:rPr>
      </w:pPr>
    </w:p>
    <w:p w14:paraId="4DD38E0C" w14:textId="77777777" w:rsidR="001870FA" w:rsidRPr="00B77CCC" w:rsidRDefault="001870FA">
      <w:pPr>
        <w:rPr>
          <w:rFonts w:ascii="Arial" w:hAnsi="Arial" w:cs="Arial"/>
          <w:sz w:val="24"/>
          <w:szCs w:val="24"/>
        </w:rPr>
      </w:pPr>
    </w:p>
    <w:p w14:paraId="47FD2F9C" w14:textId="77777777" w:rsidR="001870FA" w:rsidRPr="00B77CCC" w:rsidRDefault="00000000">
      <w:pPr>
        <w:rPr>
          <w:rFonts w:ascii="Arial" w:hAnsi="Arial" w:cs="Arial"/>
          <w:sz w:val="24"/>
          <w:szCs w:val="24"/>
        </w:rPr>
      </w:pPr>
      <w:hyperlink r:id="rId15" w:history="1">
        <w:r w:rsidR="001870FA" w:rsidRPr="00B77CCC">
          <w:rPr>
            <w:rStyle w:val="Hyperlink"/>
            <w:rFonts w:ascii="Arial" w:hAnsi="Arial" w:cs="Arial"/>
            <w:sz w:val="24"/>
            <w:szCs w:val="24"/>
          </w:rPr>
          <w:t>Update on Toronto District School Board’s Anti-Hate and Anti-Racism Strategy</w:t>
        </w:r>
      </w:hyperlink>
      <w:r w:rsidR="001870FA" w:rsidRPr="00B77CCC">
        <w:rPr>
          <w:rFonts w:ascii="Arial" w:hAnsi="Arial" w:cs="Arial"/>
          <w:sz w:val="24"/>
          <w:szCs w:val="24"/>
        </w:rPr>
        <w:t xml:space="preserve"> – March 1, 2023</w:t>
      </w:r>
    </w:p>
    <w:p w14:paraId="571857ED" w14:textId="77777777" w:rsidR="001870FA" w:rsidRPr="00B77CCC" w:rsidRDefault="001870FA">
      <w:pPr>
        <w:rPr>
          <w:rFonts w:ascii="Arial" w:hAnsi="Arial" w:cs="Arial"/>
          <w:sz w:val="24"/>
          <w:szCs w:val="24"/>
        </w:rPr>
      </w:pPr>
      <w:r w:rsidRPr="00B77CCC">
        <w:rPr>
          <w:rFonts w:ascii="Arial" w:hAnsi="Arial" w:cs="Arial"/>
          <w:sz w:val="24"/>
          <w:szCs w:val="24"/>
        </w:rPr>
        <w:t>Preliminary Findings:  Racism, Bias and Hate (RBH) Portal - February 2023</w:t>
      </w:r>
    </w:p>
    <w:p w14:paraId="5BF1FA49" w14:textId="77777777" w:rsidR="001870FA" w:rsidRPr="00B77CCC" w:rsidRDefault="001870FA" w:rsidP="001870FA">
      <w:pPr>
        <w:rPr>
          <w:rFonts w:ascii="Arial" w:hAnsi="Arial" w:cs="Arial"/>
          <w:sz w:val="24"/>
          <w:szCs w:val="24"/>
        </w:rPr>
      </w:pPr>
      <w:r w:rsidRPr="00B77CCC">
        <w:rPr>
          <w:rFonts w:ascii="Arial" w:hAnsi="Arial" w:cs="Arial"/>
          <w:sz w:val="24"/>
          <w:szCs w:val="24"/>
        </w:rPr>
        <w:t>Data from the TDSB reported Racism, Bias, and Hate Portal shows that of the 2,248 reported incidents logged between September 1, 2021 and August 31, 2022, 56% of these incidents involved racism directed towards individuals of Black African, Afro Caribbean or African Canadian descent (see Figure 1). The next largest groups involve incidents of racism towards East Asians or other races not listed; each making up 5% of all incidents. These proportions are in line with what was found in the preliminary report.</w:t>
      </w:r>
    </w:p>
    <w:p w14:paraId="6D1B9E87" w14:textId="77777777" w:rsidR="001870FA" w:rsidRPr="00B77CCC" w:rsidRDefault="001870FA">
      <w:pPr>
        <w:rPr>
          <w:rFonts w:ascii="Arial" w:hAnsi="Arial" w:cs="Arial"/>
          <w:sz w:val="24"/>
          <w:szCs w:val="24"/>
        </w:rPr>
      </w:pPr>
    </w:p>
    <w:p w14:paraId="579DA358" w14:textId="77777777" w:rsidR="001870FA" w:rsidRPr="00B77CCC" w:rsidRDefault="001870FA">
      <w:pPr>
        <w:rPr>
          <w:rFonts w:ascii="Arial" w:hAnsi="Arial" w:cs="Arial"/>
          <w:sz w:val="24"/>
          <w:szCs w:val="24"/>
        </w:rPr>
      </w:pPr>
      <w:r w:rsidRPr="00B77CCC">
        <w:rPr>
          <w:rFonts w:ascii="Arial" w:hAnsi="Arial" w:cs="Arial"/>
          <w:noProof/>
          <w:sz w:val="24"/>
          <w:szCs w:val="24"/>
        </w:rPr>
        <w:drawing>
          <wp:inline distT="0" distB="0" distL="0" distR="0" wp14:anchorId="2621B290" wp14:editId="75CBFF0C">
            <wp:extent cx="4900930" cy="2444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38355" t="41056" r="22542" b="21789"/>
                    <a:stretch/>
                  </pic:blipFill>
                  <pic:spPr bwMode="auto">
                    <a:xfrm>
                      <a:off x="0" y="0"/>
                      <a:ext cx="4912149" cy="2450346"/>
                    </a:xfrm>
                    <a:prstGeom prst="rect">
                      <a:avLst/>
                    </a:prstGeom>
                    <a:ln>
                      <a:noFill/>
                    </a:ln>
                    <a:extLst>
                      <a:ext uri="{53640926-AAD7-44D8-BBD7-CCE9431645EC}">
                        <a14:shadowObscured xmlns:a14="http://schemas.microsoft.com/office/drawing/2010/main"/>
                      </a:ext>
                    </a:extLst>
                  </pic:spPr>
                </pic:pic>
              </a:graphicData>
            </a:graphic>
          </wp:inline>
        </w:drawing>
      </w:r>
    </w:p>
    <w:p w14:paraId="55903C03" w14:textId="77777777" w:rsidR="001870FA" w:rsidRPr="00B77CCC" w:rsidRDefault="001870FA">
      <w:pPr>
        <w:rPr>
          <w:rFonts w:ascii="Arial" w:hAnsi="Arial" w:cs="Arial"/>
          <w:sz w:val="24"/>
          <w:szCs w:val="24"/>
        </w:rPr>
      </w:pPr>
      <w:r w:rsidRPr="00B77CCC">
        <w:rPr>
          <w:rFonts w:ascii="Arial" w:hAnsi="Arial" w:cs="Arial"/>
          <w:sz w:val="24"/>
          <w:szCs w:val="24"/>
        </w:rPr>
        <w:t xml:space="preserve">Overall, hate/bias directed at people for their creed/religion accounted for 10% of all reported incidents. </w:t>
      </w:r>
      <w:r w:rsidRPr="00B77CCC">
        <w:rPr>
          <w:rFonts w:ascii="Arial" w:hAnsi="Arial" w:cs="Arial"/>
          <w:sz w:val="24"/>
          <w:szCs w:val="24"/>
          <w:highlight w:val="yellow"/>
        </w:rPr>
        <w:t>Antisemitism was reported the most frequently at 7%</w:t>
      </w:r>
      <w:r w:rsidRPr="00B77CCC">
        <w:rPr>
          <w:rFonts w:ascii="Arial" w:hAnsi="Arial" w:cs="Arial"/>
          <w:sz w:val="24"/>
          <w:szCs w:val="24"/>
        </w:rPr>
        <w:t xml:space="preserve"> followed by Islamophobia (3%) (see Figure 2). Few incidents targeted other creeds/religions, which were under 1%. These numbers also correspond with previous findings. It is acknowledged that for a variety of reasons the data is an indicator but not a definitive picture of incidences of racism, hate or bias in schools. </w:t>
      </w:r>
      <w:proofErr w:type="gramStart"/>
      <w:r w:rsidRPr="00B77CCC">
        <w:rPr>
          <w:rFonts w:ascii="Arial" w:hAnsi="Arial" w:cs="Arial"/>
          <w:sz w:val="24"/>
          <w:szCs w:val="24"/>
        </w:rPr>
        <w:t>The majority of</w:t>
      </w:r>
      <w:proofErr w:type="gramEnd"/>
      <w:r w:rsidRPr="00B77CCC">
        <w:rPr>
          <w:rFonts w:ascii="Arial" w:hAnsi="Arial" w:cs="Arial"/>
          <w:sz w:val="24"/>
          <w:szCs w:val="24"/>
        </w:rPr>
        <w:t xml:space="preserve"> the incidents reported are racial slurs or epithets (written or spoken) by students.  </w:t>
      </w:r>
    </w:p>
    <w:p w14:paraId="195B1F27" w14:textId="77777777" w:rsidR="001870FA" w:rsidRPr="00B77CCC" w:rsidRDefault="001870FA">
      <w:pPr>
        <w:rPr>
          <w:rFonts w:ascii="Arial" w:hAnsi="Arial" w:cs="Arial"/>
          <w:sz w:val="24"/>
          <w:szCs w:val="24"/>
        </w:rPr>
      </w:pPr>
      <w:r w:rsidRPr="00B77CCC">
        <w:rPr>
          <w:rFonts w:ascii="Arial" w:hAnsi="Arial" w:cs="Arial"/>
          <w:noProof/>
          <w:sz w:val="24"/>
          <w:szCs w:val="24"/>
        </w:rPr>
        <w:lastRenderedPageBreak/>
        <w:drawing>
          <wp:inline distT="0" distB="0" distL="0" distR="0" wp14:anchorId="2E046D2A" wp14:editId="7ADCBD32">
            <wp:extent cx="3951076" cy="2393950"/>
            <wp:effectExtent l="0" t="0" r="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37393" t="47415" r="22756" b="6594"/>
                    <a:stretch/>
                  </pic:blipFill>
                  <pic:spPr bwMode="auto">
                    <a:xfrm>
                      <a:off x="0" y="0"/>
                      <a:ext cx="3982894" cy="2413228"/>
                    </a:xfrm>
                    <a:prstGeom prst="rect">
                      <a:avLst/>
                    </a:prstGeom>
                    <a:ln>
                      <a:noFill/>
                    </a:ln>
                    <a:extLst>
                      <a:ext uri="{53640926-AAD7-44D8-BBD7-CCE9431645EC}">
                        <a14:shadowObscured xmlns:a14="http://schemas.microsoft.com/office/drawing/2010/main"/>
                      </a:ext>
                    </a:extLst>
                  </pic:spPr>
                </pic:pic>
              </a:graphicData>
            </a:graphic>
          </wp:inline>
        </w:drawing>
      </w:r>
    </w:p>
    <w:p w14:paraId="57C6C966" w14:textId="77777777" w:rsidR="001870FA" w:rsidRPr="00B77CCC" w:rsidRDefault="001870FA">
      <w:pPr>
        <w:rPr>
          <w:rFonts w:ascii="Arial" w:hAnsi="Arial" w:cs="Arial"/>
          <w:sz w:val="24"/>
          <w:szCs w:val="24"/>
        </w:rPr>
      </w:pPr>
    </w:p>
    <w:p w14:paraId="00292AAC" w14:textId="77777777" w:rsidR="00004749" w:rsidRPr="00B77CCC" w:rsidRDefault="00000000">
      <w:pPr>
        <w:rPr>
          <w:rFonts w:ascii="Arial" w:hAnsi="Arial" w:cs="Arial"/>
          <w:sz w:val="24"/>
          <w:szCs w:val="24"/>
        </w:rPr>
      </w:pPr>
      <w:hyperlink r:id="rId18" w:history="1">
        <w:r w:rsidR="00004749" w:rsidRPr="00B77CCC">
          <w:rPr>
            <w:rStyle w:val="Hyperlink"/>
            <w:rFonts w:ascii="Arial" w:hAnsi="Arial" w:cs="Arial"/>
            <w:sz w:val="24"/>
            <w:szCs w:val="24"/>
          </w:rPr>
          <w:t xml:space="preserve">Combatting Hate and Racism – Student Learning Strategy </w:t>
        </w:r>
      </w:hyperlink>
      <w:r w:rsidR="00004749" w:rsidRPr="00B77CCC">
        <w:rPr>
          <w:rFonts w:ascii="Arial" w:hAnsi="Arial" w:cs="Arial"/>
          <w:sz w:val="24"/>
          <w:szCs w:val="24"/>
        </w:rPr>
        <w:t xml:space="preserve"> March 2, 2022</w:t>
      </w:r>
    </w:p>
    <w:p w14:paraId="4656A914" w14:textId="77777777" w:rsidR="00004749" w:rsidRPr="00B77CCC" w:rsidRDefault="00004749">
      <w:pPr>
        <w:rPr>
          <w:rFonts w:ascii="Arial" w:hAnsi="Arial" w:cs="Arial"/>
          <w:sz w:val="24"/>
          <w:szCs w:val="24"/>
        </w:rPr>
      </w:pPr>
      <w:r w:rsidRPr="00B77CCC">
        <w:rPr>
          <w:rFonts w:ascii="Arial" w:hAnsi="Arial" w:cs="Arial"/>
          <w:sz w:val="24"/>
          <w:szCs w:val="24"/>
        </w:rPr>
        <w:t xml:space="preserve">The TDSB data from the Racism, Bias and Hate (RBH) reporting portal ranging from </w:t>
      </w:r>
      <w:r w:rsidRPr="00B77CCC">
        <w:rPr>
          <w:rFonts w:ascii="Arial" w:hAnsi="Arial" w:cs="Arial"/>
          <w:sz w:val="24"/>
          <w:szCs w:val="24"/>
          <w:highlight w:val="yellow"/>
        </w:rPr>
        <w:t>Sept 1, 2021 to Dec 31, 2021</w:t>
      </w:r>
      <w:r w:rsidRPr="00B77CCC">
        <w:rPr>
          <w:rFonts w:ascii="Arial" w:hAnsi="Arial" w:cs="Arial"/>
          <w:sz w:val="24"/>
          <w:szCs w:val="24"/>
        </w:rPr>
        <w:t xml:space="preserve"> which is the most recent data set from the TDSB Human Rights Office shows the following:  </w:t>
      </w:r>
    </w:p>
    <w:p w14:paraId="05A13EA2" w14:textId="77777777" w:rsidR="00004749" w:rsidRPr="00B77CCC" w:rsidRDefault="00004749">
      <w:pPr>
        <w:rPr>
          <w:rFonts w:ascii="Arial" w:hAnsi="Arial" w:cs="Arial"/>
          <w:sz w:val="24"/>
          <w:szCs w:val="24"/>
        </w:rPr>
      </w:pPr>
      <w:r w:rsidRPr="00B77CCC">
        <w:rPr>
          <w:rFonts w:ascii="Arial" w:hAnsi="Arial" w:cs="Arial"/>
          <w:noProof/>
          <w:sz w:val="24"/>
          <w:szCs w:val="24"/>
        </w:rPr>
        <w:drawing>
          <wp:inline distT="0" distB="0" distL="0" distR="0" wp14:anchorId="0153184F" wp14:editId="6BD84CF6">
            <wp:extent cx="4133850" cy="2822042"/>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29166" t="27066" r="14743"/>
                    <a:stretch/>
                  </pic:blipFill>
                  <pic:spPr bwMode="auto">
                    <a:xfrm>
                      <a:off x="0" y="0"/>
                      <a:ext cx="4138747" cy="2825385"/>
                    </a:xfrm>
                    <a:prstGeom prst="rect">
                      <a:avLst/>
                    </a:prstGeom>
                    <a:ln>
                      <a:noFill/>
                    </a:ln>
                    <a:extLst>
                      <a:ext uri="{53640926-AAD7-44D8-BBD7-CCE9431645EC}">
                        <a14:shadowObscured xmlns:a14="http://schemas.microsoft.com/office/drawing/2010/main"/>
                      </a:ext>
                    </a:extLst>
                  </pic:spPr>
                </pic:pic>
              </a:graphicData>
            </a:graphic>
          </wp:inline>
        </w:drawing>
      </w:r>
    </w:p>
    <w:p w14:paraId="15EC90F7" w14:textId="77777777" w:rsidR="00004749" w:rsidRPr="00B77CCC" w:rsidRDefault="00004749">
      <w:pPr>
        <w:rPr>
          <w:rFonts w:ascii="Arial" w:hAnsi="Arial" w:cs="Arial"/>
          <w:sz w:val="24"/>
          <w:szCs w:val="24"/>
        </w:rPr>
      </w:pPr>
      <w:r w:rsidRPr="00B77CCC">
        <w:rPr>
          <w:rFonts w:ascii="Arial" w:hAnsi="Arial" w:cs="Arial"/>
          <w:sz w:val="24"/>
          <w:szCs w:val="24"/>
        </w:rPr>
        <w:t xml:space="preserve">The data show acts of racism, hate and bias are predominately targeted against Black (54%) students and staff. The chart also shows concerning rates of racism, hate and bias against 2SLGBTQiS (21%) followed by </w:t>
      </w:r>
      <w:r w:rsidRPr="00B77CCC">
        <w:rPr>
          <w:rFonts w:ascii="Arial" w:hAnsi="Arial" w:cs="Arial"/>
          <w:sz w:val="24"/>
          <w:szCs w:val="24"/>
          <w:highlight w:val="yellow"/>
        </w:rPr>
        <w:t>Jewish (6%),</w:t>
      </w:r>
      <w:r w:rsidRPr="00B77CCC">
        <w:rPr>
          <w:rFonts w:ascii="Arial" w:hAnsi="Arial" w:cs="Arial"/>
          <w:sz w:val="24"/>
          <w:szCs w:val="24"/>
        </w:rPr>
        <w:t xml:space="preserve"> East Asian (5%), South Asian (3%), Middle Eastern (2%) and Muslim (2%) identifying students and staff. This data is consistent with the trends in the TDSB’s Annual Human Rights Report (2020).</w:t>
      </w:r>
    </w:p>
    <w:p w14:paraId="2F820B7A" w14:textId="77777777" w:rsidR="007B52F4" w:rsidRPr="00B77CCC" w:rsidRDefault="007B52F4">
      <w:pPr>
        <w:rPr>
          <w:rFonts w:ascii="Arial" w:hAnsi="Arial" w:cs="Arial"/>
          <w:sz w:val="24"/>
          <w:szCs w:val="24"/>
        </w:rPr>
      </w:pPr>
    </w:p>
    <w:p w14:paraId="2AFF268E" w14:textId="77777777" w:rsidR="007C4AFE" w:rsidRDefault="007C4AFE">
      <w:pPr>
        <w:rPr>
          <w:rFonts w:ascii="Arial" w:hAnsi="Arial" w:cs="Arial"/>
          <w:sz w:val="24"/>
          <w:szCs w:val="24"/>
        </w:rPr>
      </w:pPr>
    </w:p>
    <w:p w14:paraId="1976EA42" w14:textId="77777777" w:rsidR="007B52F4" w:rsidRPr="00B77CCC" w:rsidRDefault="00000000">
      <w:pPr>
        <w:rPr>
          <w:rFonts w:ascii="Arial" w:hAnsi="Arial" w:cs="Arial"/>
          <w:sz w:val="24"/>
          <w:szCs w:val="24"/>
        </w:rPr>
      </w:pPr>
      <w:hyperlink r:id="rId20" w:history="1">
        <w:r w:rsidR="007B52F4" w:rsidRPr="00B77CCC">
          <w:rPr>
            <w:rStyle w:val="Hyperlink"/>
            <w:rFonts w:ascii="Arial" w:hAnsi="Arial" w:cs="Arial"/>
            <w:sz w:val="24"/>
            <w:szCs w:val="24"/>
          </w:rPr>
          <w:t>Human Rights Office Annual Report 2021-2022</w:t>
        </w:r>
      </w:hyperlink>
      <w:r w:rsidR="007B52F4" w:rsidRPr="00B77CCC">
        <w:rPr>
          <w:rFonts w:ascii="Arial" w:hAnsi="Arial" w:cs="Arial"/>
          <w:sz w:val="24"/>
          <w:szCs w:val="24"/>
        </w:rPr>
        <w:t xml:space="preserve"> </w:t>
      </w:r>
    </w:p>
    <w:p w14:paraId="0205A332" w14:textId="77777777" w:rsidR="007031C3" w:rsidRPr="00B77CCC" w:rsidRDefault="007031C3">
      <w:pPr>
        <w:rPr>
          <w:rFonts w:ascii="Arial" w:hAnsi="Arial" w:cs="Arial"/>
          <w:sz w:val="24"/>
          <w:szCs w:val="24"/>
        </w:rPr>
      </w:pPr>
      <w:r w:rsidRPr="00B77CCC">
        <w:rPr>
          <w:rFonts w:ascii="Arial" w:hAnsi="Arial" w:cs="Arial"/>
          <w:sz w:val="24"/>
          <w:szCs w:val="24"/>
        </w:rPr>
        <w:t>Data September 2021 – August 2022</w:t>
      </w:r>
    </w:p>
    <w:p w14:paraId="2D527800" w14:textId="77777777" w:rsidR="007B52F4" w:rsidRPr="00B77CCC" w:rsidRDefault="007B52F4">
      <w:pPr>
        <w:rPr>
          <w:rFonts w:ascii="Arial" w:hAnsi="Arial" w:cs="Arial"/>
          <w:sz w:val="24"/>
          <w:szCs w:val="24"/>
        </w:rPr>
      </w:pPr>
      <w:r w:rsidRPr="00B77CCC">
        <w:rPr>
          <w:rFonts w:ascii="Arial" w:hAnsi="Arial" w:cs="Arial"/>
          <w:sz w:val="24"/>
          <w:szCs w:val="24"/>
        </w:rPr>
        <w:t xml:space="preserve">The TDSB serves communities that include diverse religious affiliations. The following are key highlights from the </w:t>
      </w:r>
      <w:r w:rsidRPr="00B77CCC">
        <w:rPr>
          <w:rFonts w:ascii="Arial" w:hAnsi="Arial" w:cs="Arial"/>
          <w:sz w:val="24"/>
          <w:szCs w:val="24"/>
          <w:highlight w:val="yellow"/>
        </w:rPr>
        <w:t>Canada-wide data</w:t>
      </w:r>
      <w:r w:rsidRPr="00B77CCC">
        <w:rPr>
          <w:rFonts w:ascii="Arial" w:hAnsi="Arial" w:cs="Arial"/>
          <w:sz w:val="24"/>
          <w:szCs w:val="24"/>
        </w:rPr>
        <w:t xml:space="preserve">. </w:t>
      </w:r>
    </w:p>
    <w:p w14:paraId="4FD272BD" w14:textId="77777777" w:rsidR="007B52F4" w:rsidRPr="00B77CCC" w:rsidRDefault="007B52F4">
      <w:pPr>
        <w:rPr>
          <w:rFonts w:ascii="Arial" w:hAnsi="Arial" w:cs="Arial"/>
          <w:sz w:val="24"/>
          <w:szCs w:val="24"/>
        </w:rPr>
      </w:pPr>
      <w:r w:rsidRPr="00B77CCC">
        <w:rPr>
          <w:rFonts w:ascii="Arial" w:hAnsi="Arial" w:cs="Arial"/>
          <w:sz w:val="24"/>
          <w:szCs w:val="24"/>
        </w:rPr>
        <w:t xml:space="preserve">• 0.2% of the total population, reported a traditional Indigenous spirituality. </w:t>
      </w:r>
    </w:p>
    <w:p w14:paraId="5788AC3A" w14:textId="77777777" w:rsidR="007B52F4" w:rsidRPr="00B77CCC" w:rsidRDefault="007B52F4">
      <w:pPr>
        <w:rPr>
          <w:rFonts w:ascii="Arial" w:hAnsi="Arial" w:cs="Arial"/>
          <w:sz w:val="24"/>
          <w:szCs w:val="24"/>
        </w:rPr>
      </w:pPr>
      <w:r w:rsidRPr="00B77CCC">
        <w:rPr>
          <w:rFonts w:ascii="Arial" w:hAnsi="Arial" w:cs="Arial"/>
          <w:sz w:val="24"/>
          <w:szCs w:val="24"/>
        </w:rPr>
        <w:t xml:space="preserve">• </w:t>
      </w:r>
      <w:proofErr w:type="gramStart"/>
      <w:r w:rsidRPr="00B77CCC">
        <w:rPr>
          <w:rFonts w:ascii="Arial" w:hAnsi="Arial" w:cs="Arial"/>
          <w:sz w:val="24"/>
          <w:szCs w:val="24"/>
        </w:rPr>
        <w:t>The majority of</w:t>
      </w:r>
      <w:proofErr w:type="gramEnd"/>
      <w:r w:rsidRPr="00B77CCC">
        <w:rPr>
          <w:rFonts w:ascii="Arial" w:hAnsi="Arial" w:cs="Arial"/>
          <w:sz w:val="24"/>
          <w:szCs w:val="24"/>
        </w:rPr>
        <w:t xml:space="preserve"> the population reported as Christian. </w:t>
      </w:r>
    </w:p>
    <w:p w14:paraId="314418AB" w14:textId="77777777" w:rsidR="007B52F4" w:rsidRPr="00B77CCC" w:rsidRDefault="007B52F4">
      <w:pPr>
        <w:rPr>
          <w:rFonts w:ascii="Arial" w:hAnsi="Arial" w:cs="Arial"/>
          <w:sz w:val="24"/>
          <w:szCs w:val="24"/>
        </w:rPr>
      </w:pPr>
      <w:r w:rsidRPr="00B77CCC">
        <w:rPr>
          <w:rFonts w:ascii="Arial" w:hAnsi="Arial" w:cs="Arial"/>
          <w:sz w:val="24"/>
          <w:szCs w:val="24"/>
        </w:rPr>
        <w:t xml:space="preserve">• More than one in three Canadians reported having no religious affiliation or having a secular perspective (atheist, agnostic, humanist or other secular perspectives) (34.6%). </w:t>
      </w:r>
    </w:p>
    <w:p w14:paraId="1C732BAB" w14:textId="77777777" w:rsidR="007B52F4" w:rsidRPr="00B77CCC" w:rsidRDefault="007B52F4">
      <w:pPr>
        <w:rPr>
          <w:rFonts w:ascii="Arial" w:hAnsi="Arial" w:cs="Arial"/>
          <w:sz w:val="24"/>
          <w:szCs w:val="24"/>
        </w:rPr>
      </w:pPr>
      <w:r w:rsidRPr="00B77CCC">
        <w:rPr>
          <w:rFonts w:ascii="Arial" w:hAnsi="Arial" w:cs="Arial"/>
          <w:sz w:val="24"/>
          <w:szCs w:val="24"/>
        </w:rPr>
        <w:t xml:space="preserve">• 4.9% of the population reported their affiliation as Muslim. </w:t>
      </w:r>
    </w:p>
    <w:p w14:paraId="095F06E8" w14:textId="77777777" w:rsidR="007B52F4" w:rsidRPr="00B77CCC" w:rsidRDefault="007B52F4">
      <w:pPr>
        <w:rPr>
          <w:rFonts w:ascii="Arial" w:hAnsi="Arial" w:cs="Arial"/>
          <w:sz w:val="24"/>
          <w:szCs w:val="24"/>
        </w:rPr>
      </w:pPr>
      <w:r w:rsidRPr="00B77CCC">
        <w:rPr>
          <w:rFonts w:ascii="Arial" w:hAnsi="Arial" w:cs="Arial"/>
          <w:sz w:val="24"/>
          <w:szCs w:val="24"/>
        </w:rPr>
        <w:t xml:space="preserve">• 2.3% of the population reported their affiliation to Hinduism. </w:t>
      </w:r>
    </w:p>
    <w:p w14:paraId="1D98A636" w14:textId="77777777" w:rsidR="007B52F4" w:rsidRPr="00B77CCC" w:rsidRDefault="007B52F4">
      <w:pPr>
        <w:rPr>
          <w:rFonts w:ascii="Arial" w:hAnsi="Arial" w:cs="Arial"/>
          <w:sz w:val="24"/>
          <w:szCs w:val="24"/>
        </w:rPr>
      </w:pPr>
      <w:r w:rsidRPr="00B77CCC">
        <w:rPr>
          <w:rFonts w:ascii="Arial" w:hAnsi="Arial" w:cs="Arial"/>
          <w:sz w:val="24"/>
          <w:szCs w:val="24"/>
        </w:rPr>
        <w:t xml:space="preserve">• 2.1% of the population reported their affiliation to Sikhism. </w:t>
      </w:r>
    </w:p>
    <w:p w14:paraId="042D1460" w14:textId="77777777" w:rsidR="007B52F4" w:rsidRPr="00B77CCC" w:rsidRDefault="007B52F4">
      <w:pPr>
        <w:rPr>
          <w:rFonts w:ascii="Arial" w:hAnsi="Arial" w:cs="Arial"/>
          <w:sz w:val="24"/>
          <w:szCs w:val="24"/>
        </w:rPr>
      </w:pPr>
      <w:r w:rsidRPr="00B77CCC">
        <w:rPr>
          <w:rFonts w:ascii="Arial" w:hAnsi="Arial" w:cs="Arial"/>
          <w:sz w:val="24"/>
          <w:szCs w:val="24"/>
        </w:rPr>
        <w:t xml:space="preserve">• 1.0% of the population reported their affiliation as Buddhist. </w:t>
      </w:r>
    </w:p>
    <w:p w14:paraId="5073678A" w14:textId="77777777" w:rsidR="007B52F4" w:rsidRPr="00B77CCC" w:rsidRDefault="007B52F4">
      <w:pPr>
        <w:rPr>
          <w:rFonts w:ascii="Arial" w:hAnsi="Arial" w:cs="Arial"/>
          <w:sz w:val="24"/>
          <w:szCs w:val="24"/>
        </w:rPr>
      </w:pPr>
      <w:r w:rsidRPr="00B77CCC">
        <w:rPr>
          <w:rFonts w:ascii="Arial" w:hAnsi="Arial" w:cs="Arial"/>
          <w:sz w:val="24"/>
          <w:szCs w:val="24"/>
          <w:highlight w:val="yellow"/>
        </w:rPr>
        <w:t>• 0.9% of the population reported their affiliation as Jewish</w:t>
      </w:r>
      <w:r w:rsidRPr="00B77CCC">
        <w:rPr>
          <w:rFonts w:ascii="Arial" w:hAnsi="Arial" w:cs="Arial"/>
          <w:sz w:val="24"/>
          <w:szCs w:val="24"/>
        </w:rPr>
        <w:t>.</w:t>
      </w:r>
    </w:p>
    <w:p w14:paraId="7657E99A" w14:textId="77777777" w:rsidR="007B52F4" w:rsidRPr="00B77CCC" w:rsidRDefault="007B52F4">
      <w:pPr>
        <w:rPr>
          <w:rFonts w:ascii="Arial" w:hAnsi="Arial" w:cs="Arial"/>
          <w:sz w:val="24"/>
          <w:szCs w:val="24"/>
        </w:rPr>
      </w:pPr>
      <w:r w:rsidRPr="00B77CCC">
        <w:rPr>
          <w:rFonts w:ascii="Arial" w:hAnsi="Arial" w:cs="Arial"/>
          <w:sz w:val="24"/>
          <w:szCs w:val="24"/>
        </w:rPr>
        <w:t xml:space="preserve">In Ontario, 16.3% of the population reported being affiliated with a non-Christian religion, the highest proportion in Canada. Ontario reported the highest percentage of Muslims (6.7%) and Hindus (4.1%).  In Toronto, the largest representation by religion is Christian (46.2%), followed by Muslim (9.6%), Hindu (6.2%), </w:t>
      </w:r>
      <w:r w:rsidRPr="00B77CCC">
        <w:rPr>
          <w:rFonts w:ascii="Arial" w:hAnsi="Arial" w:cs="Arial"/>
          <w:sz w:val="24"/>
          <w:szCs w:val="24"/>
          <w:highlight w:val="yellow"/>
        </w:rPr>
        <w:t>Jewish (3.6%),</w:t>
      </w:r>
      <w:r w:rsidRPr="00B77CCC">
        <w:rPr>
          <w:rFonts w:ascii="Arial" w:hAnsi="Arial" w:cs="Arial"/>
          <w:sz w:val="24"/>
          <w:szCs w:val="24"/>
        </w:rPr>
        <w:t xml:space="preserve"> Buddhist (2.3%) and Sikh (0.8%).  Indigenous spirituality is reported as &lt;0.1%.  </w:t>
      </w:r>
    </w:p>
    <w:p w14:paraId="25A9BC4C" w14:textId="77777777" w:rsidR="007031C3" w:rsidRPr="00B77CCC" w:rsidRDefault="007031C3">
      <w:pPr>
        <w:rPr>
          <w:rFonts w:ascii="Arial" w:hAnsi="Arial" w:cs="Arial"/>
          <w:sz w:val="24"/>
          <w:szCs w:val="24"/>
        </w:rPr>
      </w:pPr>
      <w:r w:rsidRPr="00B77CCC">
        <w:rPr>
          <w:rFonts w:ascii="Arial" w:hAnsi="Arial" w:cs="Arial"/>
          <w:noProof/>
          <w:sz w:val="24"/>
          <w:szCs w:val="24"/>
        </w:rPr>
        <w:drawing>
          <wp:inline distT="0" distB="0" distL="0" distR="0" wp14:anchorId="640D7765" wp14:editId="73AA56FF">
            <wp:extent cx="5354320" cy="17780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28419" t="33985" r="15278" b="30403"/>
                    <a:stretch/>
                  </pic:blipFill>
                  <pic:spPr bwMode="auto">
                    <a:xfrm>
                      <a:off x="0" y="0"/>
                      <a:ext cx="5361967" cy="1780539"/>
                    </a:xfrm>
                    <a:prstGeom prst="rect">
                      <a:avLst/>
                    </a:prstGeom>
                    <a:ln>
                      <a:noFill/>
                    </a:ln>
                    <a:extLst>
                      <a:ext uri="{53640926-AAD7-44D8-BBD7-CCE9431645EC}">
                        <a14:shadowObscured xmlns:a14="http://schemas.microsoft.com/office/drawing/2010/main"/>
                      </a:ext>
                    </a:extLst>
                  </pic:spPr>
                </pic:pic>
              </a:graphicData>
            </a:graphic>
          </wp:inline>
        </w:drawing>
      </w:r>
    </w:p>
    <w:p w14:paraId="7BA9731E" w14:textId="77777777" w:rsidR="007031C3" w:rsidRDefault="007031C3">
      <w:pPr>
        <w:rPr>
          <w:rFonts w:ascii="Arial" w:hAnsi="Arial" w:cs="Arial"/>
          <w:sz w:val="24"/>
          <w:szCs w:val="24"/>
        </w:rPr>
      </w:pPr>
      <w:r w:rsidRPr="00B77CCC">
        <w:rPr>
          <w:rFonts w:ascii="Arial" w:hAnsi="Arial" w:cs="Arial"/>
          <w:sz w:val="24"/>
          <w:szCs w:val="24"/>
        </w:rPr>
        <w:t xml:space="preserve">Overall, hate/bias directed at people for their creed/religion accounted for approximately 10% of all reported incidents. </w:t>
      </w:r>
      <w:r w:rsidRPr="00B77CCC">
        <w:rPr>
          <w:rFonts w:ascii="Arial" w:hAnsi="Arial" w:cs="Arial"/>
          <w:sz w:val="24"/>
          <w:szCs w:val="24"/>
          <w:highlight w:val="yellow"/>
        </w:rPr>
        <w:t>Antisemitism was reported the most frequently at 7%</w:t>
      </w:r>
      <w:r w:rsidRPr="00B77CCC">
        <w:rPr>
          <w:rFonts w:ascii="Arial" w:hAnsi="Arial" w:cs="Arial"/>
          <w:sz w:val="24"/>
          <w:szCs w:val="24"/>
        </w:rPr>
        <w:t xml:space="preserve"> followed by Islamophobia (3%). Few reported incidents targeted other creeds/religions, which were under 1%. These numbers also correspond with previous findings.</w:t>
      </w:r>
    </w:p>
    <w:p w14:paraId="2EB238FD" w14:textId="77777777" w:rsidR="00843ADB" w:rsidRDefault="00843ADB">
      <w:pPr>
        <w:rPr>
          <w:rFonts w:ascii="Arial" w:hAnsi="Arial" w:cs="Arial"/>
          <w:sz w:val="24"/>
          <w:szCs w:val="24"/>
        </w:rPr>
      </w:pPr>
    </w:p>
    <w:p w14:paraId="06411BC1" w14:textId="77777777" w:rsidR="00843ADB" w:rsidRDefault="00843ADB">
      <w:pPr>
        <w:rPr>
          <w:rFonts w:ascii="Arial" w:hAnsi="Arial" w:cs="Arial"/>
          <w:sz w:val="24"/>
          <w:szCs w:val="24"/>
        </w:rPr>
      </w:pPr>
    </w:p>
    <w:p w14:paraId="0AD2666D" w14:textId="77777777" w:rsidR="00843ADB" w:rsidRDefault="00843ADB">
      <w:pPr>
        <w:rPr>
          <w:rFonts w:ascii="Arial" w:hAnsi="Arial" w:cs="Arial"/>
          <w:sz w:val="24"/>
          <w:szCs w:val="24"/>
        </w:rPr>
      </w:pPr>
    </w:p>
    <w:p w14:paraId="44B016A0" w14:textId="77777777" w:rsidR="00843ADB" w:rsidRDefault="00000000">
      <w:pPr>
        <w:rPr>
          <w:rFonts w:ascii="Arial" w:hAnsi="Arial" w:cs="Arial"/>
          <w:sz w:val="24"/>
          <w:szCs w:val="24"/>
        </w:rPr>
      </w:pPr>
      <w:hyperlink r:id="rId22" w:history="1">
        <w:r w:rsidR="00843ADB" w:rsidRPr="00724C9B">
          <w:rPr>
            <w:rStyle w:val="Hyperlink"/>
            <w:rFonts w:ascii="Arial" w:hAnsi="Arial" w:cs="Arial"/>
            <w:sz w:val="24"/>
            <w:szCs w:val="24"/>
          </w:rPr>
          <w:t>Human Rights Office Annual Report 2020-2021</w:t>
        </w:r>
      </w:hyperlink>
    </w:p>
    <w:p w14:paraId="3260C65A" w14:textId="77777777" w:rsidR="00724C9B" w:rsidRDefault="00724C9B">
      <w:pPr>
        <w:rPr>
          <w:rFonts w:ascii="Arial" w:hAnsi="Arial" w:cs="Arial"/>
          <w:sz w:val="24"/>
          <w:szCs w:val="24"/>
        </w:rPr>
      </w:pPr>
      <w:r w:rsidRPr="00724C9B">
        <w:rPr>
          <w:rFonts w:ascii="Arial" w:hAnsi="Arial" w:cs="Arial"/>
          <w:sz w:val="24"/>
          <w:szCs w:val="24"/>
        </w:rPr>
        <w:t>September 1, 2020 to. August 31, 2021</w:t>
      </w:r>
    </w:p>
    <w:p w14:paraId="45A63673" w14:textId="77777777" w:rsidR="00843ADB" w:rsidRDefault="00843ADB">
      <w:pPr>
        <w:rPr>
          <w:rFonts w:ascii="Arial" w:hAnsi="Arial" w:cs="Arial"/>
          <w:sz w:val="24"/>
          <w:szCs w:val="24"/>
        </w:rPr>
      </w:pPr>
      <w:r w:rsidRPr="00843ADB">
        <w:rPr>
          <w:rFonts w:ascii="Arial" w:hAnsi="Arial" w:cs="Arial"/>
          <w:sz w:val="24"/>
          <w:szCs w:val="24"/>
        </w:rPr>
        <w:t xml:space="preserve">Racism, Bias and Hate Incidents (RBH) Data In 2020/2021, there were </w:t>
      </w:r>
      <w:r w:rsidRPr="00843ADB">
        <w:rPr>
          <w:rFonts w:ascii="Arial" w:hAnsi="Arial" w:cs="Arial"/>
          <w:sz w:val="24"/>
          <w:szCs w:val="24"/>
          <w:highlight w:val="yellow"/>
        </w:rPr>
        <w:t>816</w:t>
      </w:r>
      <w:r w:rsidRPr="00843ADB">
        <w:rPr>
          <w:rFonts w:ascii="Arial" w:hAnsi="Arial" w:cs="Arial"/>
          <w:sz w:val="24"/>
          <w:szCs w:val="24"/>
        </w:rPr>
        <w:t xml:space="preserve"> reported incidents. </w:t>
      </w:r>
    </w:p>
    <w:p w14:paraId="1483A5C2" w14:textId="77777777" w:rsidR="00843ADB" w:rsidRDefault="00843ADB">
      <w:pPr>
        <w:rPr>
          <w:rFonts w:ascii="Arial" w:hAnsi="Arial" w:cs="Arial"/>
          <w:sz w:val="24"/>
          <w:szCs w:val="24"/>
        </w:rPr>
      </w:pPr>
      <w:r w:rsidRPr="00843ADB">
        <w:rPr>
          <w:rFonts w:ascii="Arial" w:hAnsi="Arial" w:cs="Arial"/>
          <w:sz w:val="24"/>
          <w:szCs w:val="24"/>
        </w:rPr>
        <w:t xml:space="preserve">Although the number of reported incidents has more than tripled over the past three years, it is important to note that this number likely does not reflect the actual number of incidents occurring in the schools. The increase in reports may be linked to </w:t>
      </w:r>
      <w:proofErr w:type="gramStart"/>
      <w:r w:rsidRPr="00843ADB">
        <w:rPr>
          <w:rFonts w:ascii="Arial" w:hAnsi="Arial" w:cs="Arial"/>
          <w:sz w:val="24"/>
          <w:szCs w:val="24"/>
        </w:rPr>
        <w:t>a number of</w:t>
      </w:r>
      <w:proofErr w:type="gramEnd"/>
      <w:r w:rsidRPr="00843ADB">
        <w:rPr>
          <w:rFonts w:ascii="Arial" w:hAnsi="Arial" w:cs="Arial"/>
          <w:sz w:val="24"/>
          <w:szCs w:val="24"/>
        </w:rPr>
        <w:t xml:space="preserve"> factors. </w:t>
      </w:r>
      <w:r w:rsidRPr="00843ADB">
        <w:rPr>
          <w:rFonts w:ascii="Arial" w:hAnsi="Arial" w:cs="Arial"/>
          <w:sz w:val="24"/>
          <w:szCs w:val="24"/>
          <w:highlight w:val="yellow"/>
        </w:rPr>
        <w:t>Reporting incidents of racism and hate involving or impacting students was made mandatory in November 2020</w:t>
      </w:r>
      <w:r w:rsidRPr="00843ADB">
        <w:rPr>
          <w:rFonts w:ascii="Arial" w:hAnsi="Arial" w:cs="Arial"/>
          <w:sz w:val="24"/>
          <w:szCs w:val="24"/>
        </w:rPr>
        <w:t xml:space="preserve">.  The subsequent promotion of, and education about the RBH portal to school administrative and executive staff has impacted reporting. Additionally, societal trends and cultural shifts may also be leading to increased reporting.   </w:t>
      </w:r>
    </w:p>
    <w:p w14:paraId="197ABE00" w14:textId="77777777" w:rsidR="00843ADB" w:rsidRDefault="00843ADB">
      <w:pPr>
        <w:rPr>
          <w:rFonts w:ascii="Arial" w:hAnsi="Arial" w:cs="Arial"/>
          <w:sz w:val="24"/>
          <w:szCs w:val="24"/>
        </w:rPr>
      </w:pPr>
      <w:r w:rsidRPr="00843ADB">
        <w:rPr>
          <w:rFonts w:ascii="Arial" w:hAnsi="Arial" w:cs="Arial"/>
          <w:sz w:val="24"/>
          <w:szCs w:val="24"/>
        </w:rPr>
        <w:t xml:space="preserve">The overwhelming majority of reported incidents relate to race or a race-related grounds (ancestry, citizenship, colour, ethnic origin, place of origin, race). This year race-related grounds accounted for 57% of incidents. Of those, the overwhelming majority continue to involve anti-Black racism and hate, which this year accounted for 61% of race-related incidents. </w:t>
      </w:r>
    </w:p>
    <w:p w14:paraId="14D7B429" w14:textId="77777777" w:rsidR="00843ADB" w:rsidRDefault="00843ADB">
      <w:pPr>
        <w:rPr>
          <w:rFonts w:ascii="Arial" w:hAnsi="Arial" w:cs="Arial"/>
          <w:sz w:val="24"/>
          <w:szCs w:val="24"/>
        </w:rPr>
      </w:pPr>
      <w:r w:rsidRPr="00843ADB">
        <w:rPr>
          <w:rFonts w:ascii="Arial" w:hAnsi="Arial" w:cs="Arial"/>
          <w:sz w:val="24"/>
          <w:szCs w:val="24"/>
        </w:rPr>
        <w:t xml:space="preserve">Overall, anti-Black racism incidents comprised </w:t>
      </w:r>
      <w:proofErr w:type="gramStart"/>
      <w:r w:rsidRPr="00843ADB">
        <w:rPr>
          <w:rFonts w:ascii="Arial" w:hAnsi="Arial" w:cs="Arial"/>
          <w:sz w:val="24"/>
          <w:szCs w:val="24"/>
        </w:rPr>
        <w:t>the majority of</w:t>
      </w:r>
      <w:proofErr w:type="gramEnd"/>
      <w:r w:rsidRPr="00843ADB">
        <w:rPr>
          <w:rFonts w:ascii="Arial" w:hAnsi="Arial" w:cs="Arial"/>
          <w:sz w:val="24"/>
          <w:szCs w:val="24"/>
        </w:rPr>
        <w:t xml:space="preserve"> all incidents reported into the RBH portal. This year, 2020/2021, anti-Black racism and hate incidents comprised 51% of all reported incidents in the RBH portal. The second most frequently cited ground in 2020/2021, were incidents directed at those in the 2SLGBTQ+ community; this would include incidents of homophobia, biphobia, and transphobia. They accounted for 26% of all incidents which was a huge increase in proportion of incidents compared to the previous two years. </w:t>
      </w:r>
    </w:p>
    <w:p w14:paraId="3227382D" w14:textId="77777777" w:rsidR="00843ADB" w:rsidRDefault="00843ADB">
      <w:pPr>
        <w:rPr>
          <w:rFonts w:ascii="Arial" w:hAnsi="Arial" w:cs="Arial"/>
          <w:sz w:val="24"/>
          <w:szCs w:val="24"/>
        </w:rPr>
      </w:pPr>
      <w:r w:rsidRPr="00843ADB">
        <w:rPr>
          <w:rFonts w:ascii="Arial" w:hAnsi="Arial" w:cs="Arial"/>
          <w:sz w:val="24"/>
          <w:szCs w:val="24"/>
          <w:highlight w:val="yellow"/>
        </w:rPr>
        <w:t>Creed-based incidents represented 12% of all reported incidents in 2020/2021</w:t>
      </w:r>
      <w:r w:rsidRPr="00843ADB">
        <w:rPr>
          <w:rFonts w:ascii="Arial" w:hAnsi="Arial" w:cs="Arial"/>
          <w:sz w:val="24"/>
          <w:szCs w:val="24"/>
        </w:rPr>
        <w:t xml:space="preserve">. This is a decrease from previous years. In 2018/2019 creed accounted for 31% of all reported incidents, and in 2019/2020 creed accounted for 14% of all reported incidents. </w:t>
      </w:r>
      <w:r w:rsidRPr="00843ADB">
        <w:rPr>
          <w:rFonts w:ascii="Arial" w:hAnsi="Arial" w:cs="Arial"/>
          <w:sz w:val="24"/>
          <w:szCs w:val="24"/>
          <w:highlight w:val="yellow"/>
        </w:rPr>
        <w:t>Of the 96 RBH incidents this year based on creed, 44% were based on antisemitism</w:t>
      </w:r>
      <w:r w:rsidRPr="00843ADB">
        <w:rPr>
          <w:rFonts w:ascii="Arial" w:hAnsi="Arial" w:cs="Arial"/>
          <w:sz w:val="24"/>
          <w:szCs w:val="24"/>
        </w:rPr>
        <w:t xml:space="preserve"> and 42% were based on Islamophobia.</w:t>
      </w:r>
    </w:p>
    <w:p w14:paraId="25A2E16E" w14:textId="77777777" w:rsidR="000666E9" w:rsidRDefault="000666E9">
      <w:pPr>
        <w:rPr>
          <w:rFonts w:ascii="Arial" w:hAnsi="Arial" w:cs="Arial"/>
          <w:sz w:val="24"/>
          <w:szCs w:val="24"/>
        </w:rPr>
      </w:pPr>
      <w:r w:rsidRPr="000666E9">
        <w:rPr>
          <w:noProof/>
        </w:rPr>
        <w:drawing>
          <wp:inline distT="0" distB="0" distL="0" distR="0" wp14:anchorId="68D877C2" wp14:editId="537748E2">
            <wp:extent cx="3429000" cy="1973179"/>
            <wp:effectExtent l="0" t="0" r="0" b="825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3"/>
                    <a:srcRect l="27884" t="27675" r="11218" b="5576"/>
                    <a:stretch/>
                  </pic:blipFill>
                  <pic:spPr bwMode="auto">
                    <a:xfrm>
                      <a:off x="0" y="0"/>
                      <a:ext cx="3430662" cy="1974135"/>
                    </a:xfrm>
                    <a:prstGeom prst="rect">
                      <a:avLst/>
                    </a:prstGeom>
                    <a:ln>
                      <a:noFill/>
                    </a:ln>
                    <a:extLst>
                      <a:ext uri="{53640926-AAD7-44D8-BBD7-CCE9431645EC}">
                        <a14:shadowObscured xmlns:a14="http://schemas.microsoft.com/office/drawing/2010/main"/>
                      </a:ext>
                    </a:extLst>
                  </pic:spPr>
                </pic:pic>
              </a:graphicData>
            </a:graphic>
          </wp:inline>
        </w:drawing>
      </w:r>
    </w:p>
    <w:p w14:paraId="74AEEC95" w14:textId="77777777" w:rsidR="00D31E63" w:rsidRDefault="00000000">
      <w:pPr>
        <w:rPr>
          <w:rFonts w:ascii="Arial" w:hAnsi="Arial" w:cs="Arial"/>
          <w:sz w:val="24"/>
          <w:szCs w:val="24"/>
        </w:rPr>
      </w:pPr>
      <w:hyperlink r:id="rId24" w:history="1">
        <w:r w:rsidR="00D31E63" w:rsidRPr="009C03E1">
          <w:rPr>
            <w:rStyle w:val="Hyperlink"/>
            <w:rFonts w:ascii="Arial" w:hAnsi="Arial" w:cs="Arial"/>
            <w:sz w:val="24"/>
            <w:szCs w:val="24"/>
          </w:rPr>
          <w:t xml:space="preserve">Human Rights Update Annual Report 2018-2020 </w:t>
        </w:r>
      </w:hyperlink>
      <w:r w:rsidR="00D31E63" w:rsidRPr="00D31E63">
        <w:rPr>
          <w:rFonts w:ascii="Arial" w:hAnsi="Arial" w:cs="Arial"/>
          <w:sz w:val="24"/>
          <w:szCs w:val="24"/>
        </w:rPr>
        <w:t xml:space="preserve"> </w:t>
      </w:r>
    </w:p>
    <w:p w14:paraId="75B71619" w14:textId="77777777" w:rsidR="00D31E63" w:rsidRDefault="00D31E63">
      <w:pPr>
        <w:rPr>
          <w:rFonts w:ascii="Arial" w:hAnsi="Arial" w:cs="Arial"/>
          <w:sz w:val="24"/>
          <w:szCs w:val="24"/>
        </w:rPr>
      </w:pPr>
      <w:r w:rsidRPr="00D31E63">
        <w:rPr>
          <w:rFonts w:ascii="Arial" w:hAnsi="Arial" w:cs="Arial"/>
          <w:sz w:val="24"/>
          <w:szCs w:val="24"/>
        </w:rPr>
        <w:t xml:space="preserve">The review of hate activity incident reports found that </w:t>
      </w:r>
      <w:proofErr w:type="gramStart"/>
      <w:r w:rsidRPr="00D31E63">
        <w:rPr>
          <w:rFonts w:ascii="Arial" w:hAnsi="Arial" w:cs="Arial"/>
          <w:sz w:val="24"/>
          <w:szCs w:val="24"/>
        </w:rPr>
        <w:t>the overwhelming majority of</w:t>
      </w:r>
      <w:proofErr w:type="gramEnd"/>
      <w:r w:rsidRPr="00D31E63">
        <w:rPr>
          <w:rFonts w:ascii="Arial" w:hAnsi="Arial" w:cs="Arial"/>
          <w:sz w:val="24"/>
          <w:szCs w:val="24"/>
        </w:rPr>
        <w:t xml:space="preserve"> hate activity reported related to race or a race related ground (64% or 41 of 64 cases in 18/19 and 69% or 201 out of a total 291 cases in 19/20). This was followed by religion/creed (31% or 20 of 64) in 18/19 and sexual orientation (17% or 49 of 291) in 19/20, at which time religion/creed switched places with sexual orientation to become the third most common ground (14% or 40 of 291) of hate activity.</w:t>
      </w:r>
    </w:p>
    <w:p w14:paraId="0BD7B499" w14:textId="77777777" w:rsidR="00D31E63" w:rsidRDefault="00D31E63">
      <w:pPr>
        <w:rPr>
          <w:rFonts w:ascii="Arial" w:hAnsi="Arial" w:cs="Arial"/>
          <w:sz w:val="24"/>
          <w:szCs w:val="24"/>
        </w:rPr>
      </w:pPr>
      <w:r w:rsidRPr="00D31E63">
        <w:rPr>
          <w:rFonts w:ascii="Arial" w:hAnsi="Arial" w:cs="Arial"/>
          <w:sz w:val="24"/>
          <w:szCs w:val="24"/>
        </w:rPr>
        <w:t xml:space="preserve">Breaking down these categories of hate activity even further revealed that </w:t>
      </w:r>
      <w:proofErr w:type="gramStart"/>
      <w:r w:rsidRPr="00D31E63">
        <w:rPr>
          <w:rFonts w:ascii="Arial" w:hAnsi="Arial" w:cs="Arial"/>
          <w:sz w:val="24"/>
          <w:szCs w:val="24"/>
        </w:rPr>
        <w:t>the overwhelming majority of</w:t>
      </w:r>
      <w:proofErr w:type="gramEnd"/>
      <w:r w:rsidRPr="00D31E63">
        <w:rPr>
          <w:rFonts w:ascii="Arial" w:hAnsi="Arial" w:cs="Arial"/>
          <w:sz w:val="24"/>
          <w:szCs w:val="24"/>
        </w:rPr>
        <w:t xml:space="preserve"> hate incidents involved anti-Black racism, which accounted for 39% (or 25 of 64) of all hate activity reported in 2018/19, and 41% (119 of 291) of all hate activity reported in all schools in the 2019/20 school year, followed by </w:t>
      </w:r>
      <w:r w:rsidRPr="00D31E63">
        <w:rPr>
          <w:rFonts w:ascii="Arial" w:hAnsi="Arial" w:cs="Arial"/>
          <w:sz w:val="24"/>
          <w:szCs w:val="24"/>
          <w:highlight w:val="yellow"/>
        </w:rPr>
        <w:t>antisemitism (23% or 15)</w:t>
      </w:r>
      <w:r w:rsidRPr="00D31E63">
        <w:rPr>
          <w:rFonts w:ascii="Arial" w:hAnsi="Arial" w:cs="Arial"/>
          <w:sz w:val="24"/>
          <w:szCs w:val="24"/>
        </w:rPr>
        <w:t xml:space="preserve">, other forms of racism (17% or 11), and homophobia (9% or 6) and Islamophobia  (6% or 4) in 18/19. In 19/20 the second most common form of hate activity reported after anti-Black racism was other forms of racism (21% or 62), followed by homophobia (16% or 48) and </w:t>
      </w:r>
      <w:r w:rsidRPr="00D31E63">
        <w:rPr>
          <w:rFonts w:ascii="Arial" w:hAnsi="Arial" w:cs="Arial"/>
          <w:sz w:val="24"/>
          <w:szCs w:val="24"/>
          <w:highlight w:val="yellow"/>
        </w:rPr>
        <w:t>antisemitism (11% or 31 of 291 total cases).</w:t>
      </w:r>
      <w:r w:rsidRPr="00D31E63">
        <w:rPr>
          <w:rFonts w:ascii="Arial" w:hAnsi="Arial" w:cs="Arial"/>
          <w:sz w:val="24"/>
          <w:szCs w:val="24"/>
        </w:rPr>
        <w:t xml:space="preserve">  </w:t>
      </w:r>
    </w:p>
    <w:p w14:paraId="6D37FA44" w14:textId="77777777" w:rsidR="00D31E63" w:rsidRDefault="00D31E63">
      <w:pPr>
        <w:rPr>
          <w:rFonts w:ascii="Arial" w:hAnsi="Arial" w:cs="Arial"/>
          <w:sz w:val="24"/>
          <w:szCs w:val="24"/>
        </w:rPr>
      </w:pPr>
      <w:r>
        <w:rPr>
          <w:noProof/>
        </w:rPr>
        <w:drawing>
          <wp:inline distT="0" distB="0" distL="0" distR="0" wp14:anchorId="2233E629" wp14:editId="3C11877D">
            <wp:extent cx="3810000" cy="2951049"/>
            <wp:effectExtent l="0" t="0" r="0" b="190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32158" t="27268" r="19978" b="2117"/>
                    <a:stretch/>
                  </pic:blipFill>
                  <pic:spPr bwMode="auto">
                    <a:xfrm>
                      <a:off x="0" y="0"/>
                      <a:ext cx="3820423" cy="2959123"/>
                    </a:xfrm>
                    <a:prstGeom prst="rect">
                      <a:avLst/>
                    </a:prstGeom>
                    <a:ln>
                      <a:noFill/>
                    </a:ln>
                    <a:extLst>
                      <a:ext uri="{53640926-AAD7-44D8-BBD7-CCE9431645EC}">
                        <a14:shadowObscured xmlns:a14="http://schemas.microsoft.com/office/drawing/2010/main"/>
                      </a:ext>
                    </a:extLst>
                  </pic:spPr>
                </pic:pic>
              </a:graphicData>
            </a:graphic>
          </wp:inline>
        </w:drawing>
      </w:r>
    </w:p>
    <w:p w14:paraId="1788F4BF" w14:textId="77777777" w:rsidR="00D31E63" w:rsidRDefault="00D31E63">
      <w:pPr>
        <w:rPr>
          <w:rFonts w:ascii="Arial" w:hAnsi="Arial" w:cs="Arial"/>
          <w:sz w:val="24"/>
          <w:szCs w:val="24"/>
        </w:rPr>
      </w:pPr>
      <w:r w:rsidRPr="00D31E63">
        <w:rPr>
          <w:rFonts w:ascii="Arial" w:hAnsi="Arial" w:cs="Arial"/>
          <w:sz w:val="24"/>
          <w:szCs w:val="24"/>
        </w:rPr>
        <w:t xml:space="preserve">The data moreover reveals that there has been a relatively significant growth in the number of hate activity incidents reported involving anti-Asian racism (from 0 in 18/19 to 19 or 7% in 19/20), as well as in anti-Black racism (especially in absolute terms, from 26 or 41% in 18/19 to 129 or 44% 19/20), homophobia (from 6 or 9% in 18/19 to 48 or 16% in 19/20), other forms of racism (11 or 17% in 18/19 to 62 or 21% in 19/20) and </w:t>
      </w:r>
      <w:r w:rsidRPr="00D31E63">
        <w:rPr>
          <w:rFonts w:ascii="Arial" w:hAnsi="Arial" w:cs="Arial"/>
          <w:sz w:val="24"/>
          <w:szCs w:val="24"/>
          <w:highlight w:val="yellow"/>
        </w:rPr>
        <w:t>antisemitism (at least in absolute terms, growing from 15 in 18/19 to 31 incidents in</w:t>
      </w:r>
      <w:r>
        <w:rPr>
          <w:rFonts w:ascii="Arial" w:hAnsi="Arial" w:cs="Arial"/>
          <w:sz w:val="24"/>
          <w:szCs w:val="24"/>
          <w:highlight w:val="yellow"/>
        </w:rPr>
        <w:t xml:space="preserve"> </w:t>
      </w:r>
      <w:r w:rsidRPr="00D31E63">
        <w:rPr>
          <w:rFonts w:ascii="Arial" w:hAnsi="Arial" w:cs="Arial"/>
          <w:sz w:val="24"/>
          <w:szCs w:val="24"/>
          <w:highlight w:val="yellow"/>
        </w:rPr>
        <w:t>19/20, albeit at reduced relative share of 11% versus 23% in 18/19)</w:t>
      </w:r>
      <w:r w:rsidRPr="00D31E63">
        <w:rPr>
          <w:rFonts w:ascii="Arial" w:hAnsi="Arial" w:cs="Arial"/>
          <w:sz w:val="24"/>
          <w:szCs w:val="24"/>
        </w:rPr>
        <w:t xml:space="preserve">.  </w:t>
      </w:r>
    </w:p>
    <w:p w14:paraId="7C22088B" w14:textId="77777777" w:rsidR="00D31E63" w:rsidRPr="00B77CCC" w:rsidRDefault="00D31E63">
      <w:pPr>
        <w:rPr>
          <w:rFonts w:ascii="Arial" w:hAnsi="Arial" w:cs="Arial"/>
          <w:sz w:val="24"/>
          <w:szCs w:val="24"/>
        </w:rPr>
      </w:pPr>
    </w:p>
    <w:sectPr w:rsidR="00D31E63" w:rsidRPr="00B77CCC">
      <w:footerReference w:type="default" r:id="rId2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23DE42" w14:textId="77777777" w:rsidR="00962863" w:rsidRDefault="00962863" w:rsidP="007538AE">
      <w:pPr>
        <w:spacing w:after="0" w:line="240" w:lineRule="auto"/>
      </w:pPr>
      <w:r>
        <w:separator/>
      </w:r>
    </w:p>
  </w:endnote>
  <w:endnote w:type="continuationSeparator" w:id="0">
    <w:p w14:paraId="70A39C17" w14:textId="77777777" w:rsidR="00962863" w:rsidRDefault="00962863" w:rsidP="007538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5446998"/>
      <w:docPartObj>
        <w:docPartGallery w:val="Page Numbers (Bottom of Page)"/>
        <w:docPartUnique/>
      </w:docPartObj>
    </w:sdtPr>
    <w:sdtEndPr>
      <w:rPr>
        <w:noProof/>
      </w:rPr>
    </w:sdtEndPr>
    <w:sdtContent>
      <w:p w14:paraId="1AE8332D" w14:textId="77777777" w:rsidR="007538AE" w:rsidRDefault="007538A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9000ACE" w14:textId="77777777" w:rsidR="007538AE" w:rsidRDefault="007538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01DC1" w14:textId="77777777" w:rsidR="00962863" w:rsidRDefault="00962863" w:rsidP="007538AE">
      <w:pPr>
        <w:spacing w:after="0" w:line="240" w:lineRule="auto"/>
      </w:pPr>
      <w:r>
        <w:separator/>
      </w:r>
    </w:p>
  </w:footnote>
  <w:footnote w:type="continuationSeparator" w:id="0">
    <w:p w14:paraId="6CDC665A" w14:textId="77777777" w:rsidR="00962863" w:rsidRDefault="00962863" w:rsidP="007538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B6185E"/>
    <w:multiLevelType w:val="hybridMultilevel"/>
    <w:tmpl w:val="EBC44C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60376537">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40C"/>
    <w:rsid w:val="00004749"/>
    <w:rsid w:val="000666E9"/>
    <w:rsid w:val="00087A1C"/>
    <w:rsid w:val="001870FA"/>
    <w:rsid w:val="002B7E17"/>
    <w:rsid w:val="005E040C"/>
    <w:rsid w:val="006E171A"/>
    <w:rsid w:val="007031C3"/>
    <w:rsid w:val="007061C2"/>
    <w:rsid w:val="00724C9B"/>
    <w:rsid w:val="007538AE"/>
    <w:rsid w:val="007B52F4"/>
    <w:rsid w:val="007C4AFE"/>
    <w:rsid w:val="00843ADB"/>
    <w:rsid w:val="00853FA5"/>
    <w:rsid w:val="0089161C"/>
    <w:rsid w:val="009110DA"/>
    <w:rsid w:val="00962863"/>
    <w:rsid w:val="009A0CF1"/>
    <w:rsid w:val="009C03E1"/>
    <w:rsid w:val="00AE638E"/>
    <w:rsid w:val="00B4300A"/>
    <w:rsid w:val="00B77CCC"/>
    <w:rsid w:val="00BD223B"/>
    <w:rsid w:val="00BF52D6"/>
    <w:rsid w:val="00CD69B3"/>
    <w:rsid w:val="00D31E63"/>
    <w:rsid w:val="00DA2100"/>
    <w:rsid w:val="00DD54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82064"/>
  <w15:chartTrackingRefBased/>
  <w15:docId w15:val="{E826D5CF-052A-4B38-82CA-11E3BD3B6C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040C"/>
    <w:rPr>
      <w:color w:val="0563C1" w:themeColor="hyperlink"/>
      <w:u w:val="single"/>
    </w:rPr>
  </w:style>
  <w:style w:type="character" w:styleId="UnresolvedMention">
    <w:name w:val="Unresolved Mention"/>
    <w:basedOn w:val="DefaultParagraphFont"/>
    <w:uiPriority w:val="99"/>
    <w:semiHidden/>
    <w:unhideWhenUsed/>
    <w:rsid w:val="005E040C"/>
    <w:rPr>
      <w:color w:val="605E5C"/>
      <w:shd w:val="clear" w:color="auto" w:fill="E1DFDD"/>
    </w:rPr>
  </w:style>
  <w:style w:type="paragraph" w:styleId="Header">
    <w:name w:val="header"/>
    <w:basedOn w:val="Normal"/>
    <w:link w:val="HeaderChar"/>
    <w:uiPriority w:val="99"/>
    <w:unhideWhenUsed/>
    <w:rsid w:val="007538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38AE"/>
  </w:style>
  <w:style w:type="paragraph" w:styleId="Footer">
    <w:name w:val="footer"/>
    <w:basedOn w:val="Normal"/>
    <w:link w:val="FooterChar"/>
    <w:uiPriority w:val="99"/>
    <w:unhideWhenUsed/>
    <w:rsid w:val="007538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38AE"/>
  </w:style>
  <w:style w:type="character" w:styleId="FollowedHyperlink">
    <w:name w:val="FollowedHyperlink"/>
    <w:basedOn w:val="DefaultParagraphFont"/>
    <w:uiPriority w:val="99"/>
    <w:semiHidden/>
    <w:unhideWhenUsed/>
    <w:rsid w:val="00CD69B3"/>
    <w:rPr>
      <w:color w:val="954F72" w:themeColor="followedHyperlink"/>
      <w:u w:val="single"/>
    </w:rPr>
  </w:style>
  <w:style w:type="paragraph" w:styleId="ListParagraph">
    <w:name w:val="List Paragraph"/>
    <w:basedOn w:val="Normal"/>
    <w:uiPriority w:val="34"/>
    <w:qFormat/>
    <w:rsid w:val="009A0CF1"/>
    <w:pPr>
      <w:spacing w:after="0" w:line="240" w:lineRule="auto"/>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0487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yperlink" Target="https://www.tdsb.on.ca/Portals/0/docs/Combatting%20Hate%20and%20Racism%20Board%20Report_finalMarch9_2022(1).pdf"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hyperlink" Target="https://www.tdsb.on.ca/Leadership/Boardroom/Agenda-Minutes/Type/A?Folder=Agenda%2f20240221&amp;Filename=6.2+Fall+2023+Update+on+Responding+to+Incidents+of+Racism+Bias+and+Hate+%5b4663%5d.pdf" TargetMode="External"/><Relationship Id="rId12" Type="http://schemas.openxmlformats.org/officeDocument/2006/relationships/hyperlink" Target="https://www.tdsb.on.ca/Leadership/Boardroom/Agenda-Minutes/Type/A?Folder=Agenda%2f20240515&amp;Filename=7.1.pdf" TargetMode="External"/><Relationship Id="rId17" Type="http://schemas.openxmlformats.org/officeDocument/2006/relationships/image" Target="media/image8.png"/><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yperlink" Target="https://www.tdsb.on.ca/Portals/0/aboutus/HumanRights/HRO_Annual_Report_2021-2022.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hyperlink" Target="https://www.tdsb.on.ca/Portals/0/aboutus/HumanRights/HRO_Report_March_2021.pdf" TargetMode="External"/><Relationship Id="rId5" Type="http://schemas.openxmlformats.org/officeDocument/2006/relationships/footnotes" Target="footnotes.xml"/><Relationship Id="rId15" Type="http://schemas.openxmlformats.org/officeDocument/2006/relationships/hyperlink" Target="https://pub-tdsb.escribemeetings.com/FileStream.ashx?DocumentId=15132" TargetMode="External"/><Relationship Id="rId23" Type="http://schemas.openxmlformats.org/officeDocument/2006/relationships/image" Target="media/image11.pn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hyperlink" Target="https://www.tdsb.on.ca/Portals/0/aboutus/HumanRights/HRO_Report_April_2022.pdf"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2066</Words>
  <Characters>11777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Laskin, Shelley</dc:creator>
  <cp:keywords/>
  <dc:description/>
  <cp:lastModifiedBy>Laskin, Shelley</cp:lastModifiedBy>
  <cp:revision>5</cp:revision>
  <dcterms:created xsi:type="dcterms:W3CDTF">2024-08-14T23:47:00Z</dcterms:created>
  <dcterms:modified xsi:type="dcterms:W3CDTF">2024-08-14T23:56:00Z</dcterms:modified>
</cp:coreProperties>
</file>