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C6F8" w14:textId="77777777" w:rsidR="00956901" w:rsidRDefault="00956901">
      <w:pPr>
        <w:widowControl w:val="0"/>
        <w:pBdr>
          <w:top w:val="nil"/>
          <w:left w:val="nil"/>
          <w:bottom w:val="nil"/>
          <w:right w:val="nil"/>
          <w:between w:val="nil"/>
        </w:pBdr>
        <w:spacing w:before="0" w:after="0"/>
        <w:ind w:left="0"/>
      </w:pPr>
    </w:p>
    <w:p w14:paraId="49AB965A" w14:textId="77777777" w:rsidR="00E9300E" w:rsidRDefault="00000000">
      <w:pPr>
        <w:pStyle w:val="Heading1"/>
        <w:ind w:firstLine="720"/>
        <w:rPr>
          <w:sz w:val="35"/>
          <w:szCs w:val="35"/>
        </w:rPr>
      </w:pPr>
      <w:r>
        <w:rPr>
          <w:sz w:val="35"/>
          <w:szCs w:val="35"/>
        </w:rPr>
        <w:t>Fact</w:t>
      </w:r>
      <w:r w:rsidR="00E9300E">
        <w:rPr>
          <w:sz w:val="35"/>
          <w:szCs w:val="35"/>
        </w:rPr>
        <w:t xml:space="preserve"> Sheet #1</w:t>
      </w:r>
    </w:p>
    <w:p w14:paraId="5E000E54" w14:textId="3B2D087E" w:rsidR="00956901" w:rsidRDefault="00000000">
      <w:pPr>
        <w:pStyle w:val="Heading1"/>
        <w:ind w:firstLine="720"/>
        <w:rPr>
          <w:sz w:val="35"/>
          <w:szCs w:val="35"/>
        </w:rPr>
      </w:pPr>
      <w:r>
        <w:rPr>
          <w:sz w:val="35"/>
          <w:szCs w:val="35"/>
        </w:rPr>
        <w:t xml:space="preserve">INTRODUCTORY OVERVIEW OF TDSB STUDENTS WITH SPECIAL EDUCATION NEEDS </w:t>
      </w:r>
    </w:p>
    <w:p w14:paraId="49D6B57F" w14:textId="77777777" w:rsidR="00E9300E" w:rsidRDefault="00E9300E"/>
    <w:p w14:paraId="43329E7B" w14:textId="56B3C699" w:rsidR="00956901" w:rsidRDefault="00000000">
      <w:r>
        <w:t xml:space="preserve">This fact sheet is the first in a series of fact sheets examining a range of topics impacting students with special education needs (SEN) within the Toronto District School Board (TDSB). This fact sheet provides an introductory overview of TDSB students with special education needs in the 2023-24 school year.  </w:t>
      </w:r>
    </w:p>
    <w:p w14:paraId="07F6B917" w14:textId="77777777" w:rsidR="00956901" w:rsidRDefault="00000000">
      <w:pPr>
        <w:pStyle w:val="Heading2"/>
        <w:ind w:firstLine="720"/>
      </w:pPr>
      <w:r>
        <w:t>How are Students with Special Education Needs Identified?</w:t>
      </w:r>
    </w:p>
    <w:p w14:paraId="1F276A1E" w14:textId="77777777" w:rsidR="00956901" w:rsidRDefault="00000000">
      <w:pPr>
        <w:numPr>
          <w:ilvl w:val="0"/>
          <w:numId w:val="1"/>
        </w:numPr>
        <w:pBdr>
          <w:top w:val="nil"/>
          <w:left w:val="nil"/>
          <w:bottom w:val="nil"/>
          <w:right w:val="nil"/>
          <w:between w:val="nil"/>
        </w:pBdr>
        <w:spacing w:before="0" w:after="0"/>
      </w:pPr>
      <w:r>
        <w:rPr>
          <w:color w:val="000000"/>
        </w:rPr>
        <w:t xml:space="preserve">Through a formal Identification, Placement and Review Committee (IPRC), a student is identified as an “exceptional pupil” who has one or more of the 5 </w:t>
      </w:r>
      <w:hyperlink r:id="rId8">
        <w:r>
          <w:rPr>
            <w:color w:val="0000FF"/>
            <w:u w:val="single"/>
          </w:rPr>
          <w:t>exceptionalities</w:t>
        </w:r>
      </w:hyperlink>
      <w:r>
        <w:rPr>
          <w:color w:val="000000"/>
        </w:rPr>
        <w:t xml:space="preserve"> outlined by the Education Act (behavioural, communicational, intellectual, physical, and multiple).  </w:t>
      </w:r>
    </w:p>
    <w:p w14:paraId="461ED4AB" w14:textId="77777777" w:rsidR="00956901" w:rsidRDefault="00000000">
      <w:pPr>
        <w:numPr>
          <w:ilvl w:val="0"/>
          <w:numId w:val="1"/>
        </w:numPr>
        <w:pBdr>
          <w:top w:val="nil"/>
          <w:left w:val="nil"/>
          <w:bottom w:val="nil"/>
          <w:right w:val="nil"/>
          <w:between w:val="nil"/>
        </w:pBdr>
        <w:spacing w:before="0" w:after="0"/>
      </w:pPr>
      <w:r>
        <w:rPr>
          <w:color w:val="000000"/>
        </w:rPr>
        <w:t>An Individual Education Plan (IEP) is developed for a student identified with one or more exceptionalities at an IPRC.</w:t>
      </w:r>
    </w:p>
    <w:p w14:paraId="27D180CF" w14:textId="77777777" w:rsidR="00956901" w:rsidRDefault="00000000">
      <w:pPr>
        <w:numPr>
          <w:ilvl w:val="0"/>
          <w:numId w:val="1"/>
        </w:numPr>
        <w:pBdr>
          <w:top w:val="nil"/>
          <w:left w:val="nil"/>
          <w:bottom w:val="nil"/>
          <w:right w:val="nil"/>
          <w:between w:val="nil"/>
        </w:pBdr>
        <w:spacing w:before="0"/>
      </w:pPr>
      <w:r>
        <w:rPr>
          <w:color w:val="000000"/>
        </w:rPr>
        <w:t>In the TDSB, an IEP may be created for a student who has not been identified with one or more exceptionalities at an IPRC if the student requires special education programs or services to access the Ontario curriculum.</w:t>
      </w:r>
    </w:p>
    <w:p w14:paraId="2B475320" w14:textId="77777777" w:rsidR="00956901" w:rsidRDefault="00000000" w:rsidP="00E9300E">
      <w:pPr>
        <w:pStyle w:val="Heading2"/>
        <w:ind w:left="1440"/>
      </w:pPr>
      <w:r>
        <w:t>How many Students with Special Education Needs are in the TDSB?</w:t>
      </w:r>
    </w:p>
    <w:p w14:paraId="6A4CC8DD" w14:textId="77777777" w:rsidR="00956901" w:rsidRDefault="00000000">
      <w:pPr>
        <w:numPr>
          <w:ilvl w:val="0"/>
          <w:numId w:val="2"/>
        </w:numPr>
        <w:pBdr>
          <w:top w:val="nil"/>
          <w:left w:val="nil"/>
          <w:bottom w:val="nil"/>
          <w:right w:val="nil"/>
          <w:between w:val="nil"/>
        </w:pBdr>
        <w:spacing w:before="0" w:after="0" w:line="240" w:lineRule="auto"/>
        <w:jc w:val="both"/>
        <w:rPr>
          <w:color w:val="000000"/>
        </w:rPr>
      </w:pPr>
      <w:r>
        <w:rPr>
          <w:color w:val="000000"/>
        </w:rPr>
        <w:t>In 202</w:t>
      </w:r>
      <w:r>
        <w:t>3</w:t>
      </w:r>
      <w:r>
        <w:rPr>
          <w:color w:val="000000"/>
        </w:rPr>
        <w:t>-2</w:t>
      </w:r>
      <w:r>
        <w:t>4</w:t>
      </w:r>
      <w:r>
        <w:rPr>
          <w:color w:val="000000"/>
        </w:rPr>
        <w:t xml:space="preserve">, </w:t>
      </w:r>
      <w:r>
        <w:t>41,075</w:t>
      </w:r>
      <w:r>
        <w:rPr>
          <w:color w:val="000000"/>
        </w:rPr>
        <w:t xml:space="preserve"> students out of 23</w:t>
      </w:r>
      <w:r>
        <w:t>8,106</w:t>
      </w:r>
      <w:r>
        <w:rPr>
          <w:color w:val="000000"/>
        </w:rPr>
        <w:t xml:space="preserve"> (</w:t>
      </w:r>
      <w:r>
        <w:rPr>
          <w:b/>
          <w:color w:val="000000"/>
        </w:rPr>
        <w:t>17% of the TDSB student population</w:t>
      </w:r>
      <w:r>
        <w:rPr>
          <w:color w:val="000000"/>
        </w:rPr>
        <w:t xml:space="preserve">) were classified as </w:t>
      </w:r>
      <w:r>
        <w:t>s</w:t>
      </w:r>
      <w:r>
        <w:rPr>
          <w:color w:val="000000"/>
        </w:rPr>
        <w:t>tudents with</w:t>
      </w:r>
      <w:r>
        <w:t xml:space="preserve"> </w:t>
      </w:r>
      <w:r>
        <w:rPr>
          <w:color w:val="000000"/>
        </w:rPr>
        <w:t>SEN</w:t>
      </w:r>
      <w:r>
        <w:t xml:space="preserve">. </w:t>
      </w:r>
      <w:r>
        <w:rPr>
          <w:color w:val="000000"/>
        </w:rPr>
        <w:t xml:space="preserve"> </w:t>
      </w:r>
    </w:p>
    <w:p w14:paraId="1EC2C91D" w14:textId="77777777" w:rsidR="00956901" w:rsidRDefault="00000000">
      <w:pPr>
        <w:numPr>
          <w:ilvl w:val="0"/>
          <w:numId w:val="2"/>
        </w:numPr>
        <w:pBdr>
          <w:top w:val="nil"/>
          <w:left w:val="nil"/>
          <w:bottom w:val="nil"/>
          <w:right w:val="nil"/>
          <w:between w:val="nil"/>
        </w:pBdr>
        <w:spacing w:before="0" w:after="0" w:line="240" w:lineRule="auto"/>
        <w:jc w:val="both"/>
        <w:rPr>
          <w:color w:val="000000"/>
        </w:rPr>
      </w:pPr>
      <w:r>
        <w:rPr>
          <w:color w:val="000000"/>
          <w:highlight w:val="white"/>
        </w:rPr>
        <w:t>Of those 4</w:t>
      </w:r>
      <w:r>
        <w:rPr>
          <w:highlight w:val="white"/>
        </w:rPr>
        <w:t>1</w:t>
      </w:r>
      <w:r>
        <w:rPr>
          <w:color w:val="000000"/>
          <w:highlight w:val="white"/>
        </w:rPr>
        <w:t>,</w:t>
      </w:r>
      <w:r>
        <w:rPr>
          <w:highlight w:val="white"/>
        </w:rPr>
        <w:t>075</w:t>
      </w:r>
      <w:r>
        <w:rPr>
          <w:color w:val="000000"/>
          <w:highlight w:val="white"/>
        </w:rPr>
        <w:t xml:space="preserve"> students, 17,</w:t>
      </w:r>
      <w:r>
        <w:rPr>
          <w:highlight w:val="white"/>
        </w:rPr>
        <w:t>501</w:t>
      </w:r>
      <w:r>
        <w:rPr>
          <w:color w:val="000000"/>
          <w:highlight w:val="white"/>
        </w:rPr>
        <w:t xml:space="preserve"> or </w:t>
      </w:r>
      <w:r>
        <w:rPr>
          <w:b/>
          <w:color w:val="000000"/>
          <w:highlight w:val="white"/>
        </w:rPr>
        <w:t>4</w:t>
      </w:r>
      <w:r>
        <w:rPr>
          <w:b/>
          <w:highlight w:val="white"/>
        </w:rPr>
        <w:t>3</w:t>
      </w:r>
      <w:r>
        <w:rPr>
          <w:b/>
          <w:color w:val="000000"/>
          <w:highlight w:val="white"/>
        </w:rPr>
        <w:t>% are formally identified with exceptionalities</w:t>
      </w:r>
      <w:r>
        <w:rPr>
          <w:color w:val="000000"/>
          <w:highlight w:val="white"/>
        </w:rPr>
        <w:t>, while 23,</w:t>
      </w:r>
      <w:r>
        <w:rPr>
          <w:highlight w:val="white"/>
        </w:rPr>
        <w:t>574</w:t>
      </w:r>
      <w:r>
        <w:rPr>
          <w:color w:val="000000"/>
          <w:highlight w:val="white"/>
        </w:rPr>
        <w:t xml:space="preserve"> or </w:t>
      </w:r>
      <w:r>
        <w:rPr>
          <w:b/>
          <w:color w:val="000000"/>
          <w:highlight w:val="white"/>
        </w:rPr>
        <w:t>5</w:t>
      </w:r>
      <w:r>
        <w:rPr>
          <w:b/>
          <w:highlight w:val="white"/>
        </w:rPr>
        <w:t>7</w:t>
      </w:r>
      <w:r>
        <w:rPr>
          <w:b/>
          <w:color w:val="000000"/>
          <w:highlight w:val="white"/>
        </w:rPr>
        <w:t>% have IEPs with no formally identified exceptionalities</w:t>
      </w:r>
      <w:r>
        <w:rPr>
          <w:color w:val="000000"/>
          <w:highlight w:val="white"/>
        </w:rPr>
        <w:t xml:space="preserve"> (see Figure 1). </w:t>
      </w:r>
    </w:p>
    <w:p w14:paraId="55144811" w14:textId="77777777" w:rsidR="00E9300E" w:rsidRDefault="00E9300E">
      <w:pPr>
        <w:ind w:left="1080"/>
        <w:rPr>
          <w:b/>
          <w:color w:val="000000"/>
          <w:highlight w:val="white"/>
        </w:rPr>
      </w:pPr>
    </w:p>
    <w:p w14:paraId="366266B0" w14:textId="77777777" w:rsidR="00E9300E" w:rsidRDefault="00E9300E">
      <w:pPr>
        <w:ind w:left="1080"/>
        <w:rPr>
          <w:b/>
          <w:color w:val="000000"/>
          <w:highlight w:val="white"/>
        </w:rPr>
      </w:pPr>
    </w:p>
    <w:p w14:paraId="3B2EA8F6" w14:textId="77777777" w:rsidR="00E9300E" w:rsidRDefault="00E9300E">
      <w:pPr>
        <w:ind w:left="1080"/>
        <w:rPr>
          <w:b/>
          <w:color w:val="000000"/>
          <w:highlight w:val="white"/>
        </w:rPr>
      </w:pPr>
    </w:p>
    <w:p w14:paraId="1C91019B" w14:textId="77777777" w:rsidR="00E9300E" w:rsidRDefault="00E9300E">
      <w:pPr>
        <w:ind w:left="1080"/>
        <w:rPr>
          <w:b/>
          <w:color w:val="000000"/>
          <w:highlight w:val="white"/>
        </w:rPr>
      </w:pPr>
    </w:p>
    <w:p w14:paraId="06DA543F" w14:textId="77777777" w:rsidR="00E9300E" w:rsidRDefault="00E9300E">
      <w:pPr>
        <w:ind w:left="1080"/>
        <w:rPr>
          <w:b/>
          <w:color w:val="000000"/>
          <w:highlight w:val="white"/>
        </w:rPr>
      </w:pPr>
    </w:p>
    <w:p w14:paraId="31AA168F" w14:textId="01F749E4" w:rsidR="00956901" w:rsidRDefault="00000000">
      <w:pPr>
        <w:ind w:left="1080"/>
        <w:rPr>
          <w:b/>
          <w:color w:val="000000"/>
          <w:highlight w:val="white"/>
        </w:rPr>
      </w:pPr>
      <w:r>
        <w:rPr>
          <w:b/>
          <w:color w:val="000000"/>
          <w:highlight w:val="white"/>
        </w:rPr>
        <w:lastRenderedPageBreak/>
        <w:t>Figure 1: Percentage of TDSB Students with Special Education Needs (Formally Identified with Exceptionalities and IEP-Only)</w:t>
      </w:r>
    </w:p>
    <w:p w14:paraId="65302831" w14:textId="77777777" w:rsidR="00956901" w:rsidRDefault="00000000">
      <w:pPr>
        <w:ind w:left="1080"/>
        <w:rPr>
          <w:b/>
          <w:highlight w:val="white"/>
        </w:rPr>
      </w:pPr>
      <w:r>
        <w:rPr>
          <w:b/>
          <w:highlight w:val="white"/>
        </w:rPr>
        <w:tab/>
      </w:r>
      <w:r>
        <w:rPr>
          <w:b/>
          <w:highlight w:val="white"/>
        </w:rPr>
        <w:tab/>
      </w:r>
      <w:r>
        <w:rPr>
          <w:noProof/>
        </w:rPr>
        <w:drawing>
          <wp:anchor distT="114300" distB="114300" distL="114300" distR="114300" simplePos="0" relativeHeight="251658240" behindDoc="0" locked="0" layoutInCell="1" hidden="0" allowOverlap="1" wp14:anchorId="42D0D255" wp14:editId="6021EA15">
            <wp:simplePos x="0" y="0"/>
            <wp:positionH relativeFrom="column">
              <wp:posOffset>800100</wp:posOffset>
            </wp:positionH>
            <wp:positionV relativeFrom="paragraph">
              <wp:posOffset>114300</wp:posOffset>
            </wp:positionV>
            <wp:extent cx="3719513" cy="1669985"/>
            <wp:effectExtent l="0" t="0" r="0" b="0"/>
            <wp:wrapTopAndBottom distT="114300" distB="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13014" b="12765"/>
                    <a:stretch>
                      <a:fillRect/>
                    </a:stretch>
                  </pic:blipFill>
                  <pic:spPr>
                    <a:xfrm>
                      <a:off x="0" y="0"/>
                      <a:ext cx="3719513" cy="1669985"/>
                    </a:xfrm>
                    <a:prstGeom prst="rect">
                      <a:avLst/>
                    </a:prstGeom>
                    <a:ln/>
                  </pic:spPr>
                </pic:pic>
              </a:graphicData>
            </a:graphic>
          </wp:anchor>
        </w:drawing>
      </w:r>
    </w:p>
    <w:p w14:paraId="0382BB24" w14:textId="77777777" w:rsidR="00956901" w:rsidRDefault="00000000">
      <w:pPr>
        <w:pStyle w:val="Heading2"/>
        <w:ind w:firstLine="720"/>
      </w:pPr>
      <w:r>
        <w:tab/>
        <w:t xml:space="preserve"> </w:t>
      </w:r>
    </w:p>
    <w:p w14:paraId="495217AA" w14:textId="77777777" w:rsidR="00956901" w:rsidRDefault="00000000">
      <w:pPr>
        <w:pStyle w:val="Heading2"/>
        <w:ind w:left="0" w:firstLine="720"/>
      </w:pPr>
      <w:r>
        <w:t>Inclusion</w:t>
      </w:r>
    </w:p>
    <w:p w14:paraId="6D62A873" w14:textId="77777777" w:rsidR="00956901" w:rsidRDefault="00000000">
      <w:pPr>
        <w:numPr>
          <w:ilvl w:val="0"/>
          <w:numId w:val="1"/>
        </w:numPr>
        <w:pBdr>
          <w:top w:val="nil"/>
          <w:left w:val="nil"/>
          <w:bottom w:val="nil"/>
          <w:right w:val="nil"/>
          <w:between w:val="nil"/>
        </w:pBdr>
        <w:spacing w:before="0" w:after="0"/>
      </w:pPr>
      <w:r>
        <w:rPr>
          <w:color w:val="000000"/>
        </w:rPr>
        <w:t>Students with SEN have unique strengths and needs that may require them to have special education programs or services. However, in line with Ontario Regulation 181/98 and in consultation with families and students (where appropriate), the TDSB strives to meet the needs of students with SEN within regular classroom settings with support</w:t>
      </w:r>
      <w:r>
        <w:rPr>
          <w:color w:val="000000"/>
          <w:highlight w:val="white"/>
        </w:rPr>
        <w:t>.</w:t>
      </w:r>
    </w:p>
    <w:p w14:paraId="7CE53FDB" w14:textId="77777777" w:rsidR="00956901" w:rsidRDefault="00000000">
      <w:pPr>
        <w:numPr>
          <w:ilvl w:val="0"/>
          <w:numId w:val="1"/>
        </w:numPr>
        <w:pBdr>
          <w:top w:val="nil"/>
          <w:left w:val="nil"/>
          <w:bottom w:val="nil"/>
          <w:right w:val="nil"/>
          <w:between w:val="nil"/>
        </w:pBdr>
        <w:spacing w:before="0" w:after="0"/>
      </w:pPr>
      <w:r>
        <w:rPr>
          <w:color w:val="000000"/>
          <w:highlight w:val="white"/>
        </w:rPr>
        <w:t xml:space="preserve">When looking at all students with special education needs (including the </w:t>
      </w:r>
      <w:r>
        <w:t>23,574</w:t>
      </w:r>
      <w:r>
        <w:rPr>
          <w:color w:val="000000"/>
          <w:highlight w:val="white"/>
        </w:rPr>
        <w:t xml:space="preserve"> with an IEP-onl</w:t>
      </w:r>
      <w:r>
        <w:rPr>
          <w:highlight w:val="white"/>
        </w:rPr>
        <w:t xml:space="preserve">y), </w:t>
      </w:r>
      <w:r>
        <w:t>75</w:t>
      </w:r>
      <w:proofErr w:type="gramStart"/>
      <w:r>
        <w:t>%( 30,767</w:t>
      </w:r>
      <w:proofErr w:type="gramEnd"/>
      <w:r>
        <w:t xml:space="preserve"> students) are in regular classes, while 25% (10,308 students) are in special education classes. </w:t>
      </w:r>
    </w:p>
    <w:p w14:paraId="01CFACF9" w14:textId="77777777" w:rsidR="00956901" w:rsidRDefault="00000000">
      <w:pPr>
        <w:numPr>
          <w:ilvl w:val="0"/>
          <w:numId w:val="1"/>
        </w:numPr>
        <w:pBdr>
          <w:top w:val="nil"/>
          <w:left w:val="nil"/>
          <w:bottom w:val="nil"/>
          <w:right w:val="nil"/>
          <w:between w:val="nil"/>
        </w:pBdr>
        <w:spacing w:before="0"/>
      </w:pPr>
      <w:r>
        <w:rPr>
          <w:color w:val="000000"/>
          <w:highlight w:val="white"/>
        </w:rPr>
        <w:t>However, of the 1</w:t>
      </w:r>
      <w:r>
        <w:rPr>
          <w:highlight w:val="white"/>
        </w:rPr>
        <w:t>7,501</w:t>
      </w:r>
      <w:r>
        <w:rPr>
          <w:color w:val="000000"/>
          <w:highlight w:val="white"/>
        </w:rPr>
        <w:t xml:space="preserve"> students formally identified with exceptionalities, 4</w:t>
      </w:r>
      <w:r>
        <w:rPr>
          <w:highlight w:val="white"/>
        </w:rPr>
        <w:t>1</w:t>
      </w:r>
      <w:r>
        <w:rPr>
          <w:color w:val="000000"/>
          <w:highlight w:val="white"/>
        </w:rPr>
        <w:t>% (7,193 students) are in regular classes, while</w:t>
      </w:r>
      <w:r>
        <w:rPr>
          <w:highlight w:val="white"/>
        </w:rPr>
        <w:t xml:space="preserve"> </w:t>
      </w:r>
      <w:r>
        <w:t xml:space="preserve">59% (10,308 students) </w:t>
      </w:r>
      <w:r>
        <w:rPr>
          <w:color w:val="000000"/>
          <w:highlight w:val="white"/>
        </w:rPr>
        <w:t>are in special education classes (see Figure 2).</w:t>
      </w:r>
      <w:r>
        <w:rPr>
          <w:rFonts w:ascii="Roboto" w:eastAsia="Roboto" w:hAnsi="Roboto" w:cs="Roboto"/>
          <w:sz w:val="21"/>
          <w:szCs w:val="21"/>
          <w:highlight w:val="white"/>
        </w:rPr>
        <w:t xml:space="preserve"> </w:t>
      </w:r>
    </w:p>
    <w:p w14:paraId="7A860E15"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73B2E507"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488A519E"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639DC769"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600BA35F"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17A0BC82"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38785F64"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2B269D78"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0B12C913"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463241F6"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140543D3"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284BCD81"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46421BD3"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32FE66A7" w14:textId="77777777" w:rsidR="00E9300E" w:rsidRDefault="00E9300E">
      <w:pPr>
        <w:pBdr>
          <w:top w:val="nil"/>
          <w:left w:val="nil"/>
          <w:bottom w:val="nil"/>
          <w:right w:val="nil"/>
          <w:between w:val="nil"/>
        </w:pBdr>
        <w:spacing w:before="0" w:after="0" w:line="240" w:lineRule="auto"/>
        <w:ind w:left="1080"/>
        <w:jc w:val="both"/>
        <w:rPr>
          <w:b/>
          <w:color w:val="000000"/>
          <w:highlight w:val="white"/>
        </w:rPr>
      </w:pPr>
    </w:p>
    <w:p w14:paraId="172B7C0A" w14:textId="71325547" w:rsidR="00956901" w:rsidRDefault="00000000">
      <w:pPr>
        <w:pBdr>
          <w:top w:val="nil"/>
          <w:left w:val="nil"/>
          <w:bottom w:val="nil"/>
          <w:right w:val="nil"/>
          <w:between w:val="nil"/>
        </w:pBdr>
        <w:spacing w:before="0" w:after="0" w:line="240" w:lineRule="auto"/>
        <w:ind w:left="1080"/>
        <w:jc w:val="both"/>
        <w:rPr>
          <w:rFonts w:ascii="Times New Roman" w:eastAsia="Times New Roman" w:hAnsi="Times New Roman" w:cs="Times New Roman"/>
          <w:color w:val="000000"/>
        </w:rPr>
      </w:pPr>
      <w:r>
        <w:rPr>
          <w:b/>
          <w:color w:val="000000"/>
          <w:highlight w:val="white"/>
        </w:rPr>
        <w:lastRenderedPageBreak/>
        <w:t>Figure 2: Special Education Classroom Settings</w:t>
      </w:r>
    </w:p>
    <w:p w14:paraId="7A424C38" w14:textId="77777777" w:rsidR="00956901" w:rsidRDefault="00000000">
      <w:pPr>
        <w:ind w:left="1080"/>
      </w:pPr>
      <w:r>
        <w:rPr>
          <w:noProof/>
        </w:rPr>
        <w:drawing>
          <wp:anchor distT="114300" distB="114300" distL="114300" distR="114300" simplePos="0" relativeHeight="251659264" behindDoc="0" locked="0" layoutInCell="1" hidden="0" allowOverlap="1" wp14:anchorId="101E145A" wp14:editId="6CFF89AC">
            <wp:simplePos x="0" y="0"/>
            <wp:positionH relativeFrom="column">
              <wp:posOffset>752475</wp:posOffset>
            </wp:positionH>
            <wp:positionV relativeFrom="paragraph">
              <wp:posOffset>190500</wp:posOffset>
            </wp:positionV>
            <wp:extent cx="5191125" cy="3112811"/>
            <wp:effectExtent l="0" t="0" r="0" b="0"/>
            <wp:wrapTopAndBottom distT="114300" distB="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191125" cy="3112811"/>
                    </a:xfrm>
                    <a:prstGeom prst="rect">
                      <a:avLst/>
                    </a:prstGeom>
                    <a:ln/>
                  </pic:spPr>
                </pic:pic>
              </a:graphicData>
            </a:graphic>
          </wp:anchor>
        </w:drawing>
      </w:r>
    </w:p>
    <w:p w14:paraId="21633FF3" w14:textId="77777777" w:rsidR="00E9300E" w:rsidRDefault="00E9300E">
      <w:pPr>
        <w:spacing w:before="0" w:after="200"/>
        <w:ind w:left="0" w:firstLine="720"/>
        <w:rPr>
          <w:b/>
          <w:sz w:val="28"/>
          <w:szCs w:val="28"/>
        </w:rPr>
      </w:pPr>
    </w:p>
    <w:p w14:paraId="24DAF4D6" w14:textId="6A2B7CE5" w:rsidR="00956901" w:rsidRDefault="00000000">
      <w:pPr>
        <w:spacing w:before="0" w:after="200"/>
        <w:ind w:left="0" w:firstLine="720"/>
        <w:rPr>
          <w:b/>
          <w:sz w:val="28"/>
          <w:szCs w:val="28"/>
        </w:rPr>
      </w:pPr>
      <w:r>
        <w:rPr>
          <w:b/>
          <w:sz w:val="28"/>
          <w:szCs w:val="28"/>
        </w:rPr>
        <w:t>Select Key Findings</w:t>
      </w:r>
    </w:p>
    <w:p w14:paraId="7EEF8949" w14:textId="77777777" w:rsidR="00956901" w:rsidRDefault="00000000">
      <w:pPr>
        <w:numPr>
          <w:ilvl w:val="0"/>
          <w:numId w:val="1"/>
        </w:numPr>
        <w:pBdr>
          <w:top w:val="nil"/>
          <w:left w:val="nil"/>
          <w:bottom w:val="nil"/>
          <w:right w:val="nil"/>
          <w:between w:val="nil"/>
        </w:pBdr>
        <w:spacing w:before="0" w:after="0"/>
      </w:pPr>
      <w:r>
        <w:rPr>
          <w:color w:val="000000"/>
        </w:rPr>
        <w:t xml:space="preserve">There are 11 subcategories of exceptionalities within the 5 categories of exceptionalities. The majority of </w:t>
      </w:r>
      <w:proofErr w:type="gramStart"/>
      <w:r>
        <w:rPr>
          <w:color w:val="000000"/>
        </w:rPr>
        <w:t>formally-identified</w:t>
      </w:r>
      <w:proofErr w:type="gramEnd"/>
      <w:r>
        <w:rPr>
          <w:color w:val="000000"/>
        </w:rPr>
        <w:t xml:space="preserve"> TDSB students with SEN are in five categories: Learning Disability (LD), Giftedness, Mild Intellectual Disability (MID), Autism, and Developmental Disability (DD). </w:t>
      </w:r>
    </w:p>
    <w:p w14:paraId="4672A3AA" w14:textId="77777777" w:rsidR="00956901" w:rsidRDefault="00000000">
      <w:pPr>
        <w:numPr>
          <w:ilvl w:val="0"/>
          <w:numId w:val="1"/>
        </w:numPr>
        <w:pBdr>
          <w:top w:val="nil"/>
          <w:left w:val="nil"/>
          <w:bottom w:val="nil"/>
          <w:right w:val="nil"/>
          <w:between w:val="nil"/>
        </w:pBdr>
        <w:spacing w:before="0" w:after="0"/>
        <w:rPr>
          <w:b/>
          <w:color w:val="000000"/>
        </w:rPr>
      </w:pPr>
      <w:r>
        <w:t>According to the 2022-23 Student Census, t</w:t>
      </w:r>
      <w:r>
        <w:rPr>
          <w:color w:val="000000"/>
        </w:rPr>
        <w:t xml:space="preserve">he overall TDSB student population is closely split between </w:t>
      </w:r>
      <w:r>
        <w:t>boys/men</w:t>
      </w:r>
      <w:r>
        <w:rPr>
          <w:color w:val="000000"/>
        </w:rPr>
        <w:t xml:space="preserve"> (</w:t>
      </w:r>
      <w:r>
        <w:t>49</w:t>
      </w:r>
      <w:r>
        <w:rPr>
          <w:color w:val="000000"/>
        </w:rPr>
        <w:t xml:space="preserve">%) and </w:t>
      </w:r>
      <w:r>
        <w:t>girls/women</w:t>
      </w:r>
      <w:r>
        <w:rPr>
          <w:color w:val="000000"/>
        </w:rPr>
        <w:t xml:space="preserve"> (4</w:t>
      </w:r>
      <w:r>
        <w:t>7</w:t>
      </w:r>
      <w:r>
        <w:rPr>
          <w:color w:val="000000"/>
        </w:rPr>
        <w:t>%) with 3% identifying outside the gender binary</w:t>
      </w:r>
      <w:r>
        <w:rPr>
          <w:color w:val="000000"/>
          <w:vertAlign w:val="superscript"/>
        </w:rPr>
        <w:footnoteReference w:id="1"/>
      </w:r>
      <w:r>
        <w:rPr>
          <w:color w:val="000000"/>
        </w:rPr>
        <w:t xml:space="preserve">. However, </w:t>
      </w:r>
      <w:r>
        <w:t>60</w:t>
      </w:r>
      <w:r>
        <w:rPr>
          <w:color w:val="000000"/>
        </w:rPr>
        <w:t xml:space="preserve">% of students with SEN excluding gifted are </w:t>
      </w:r>
      <w:r>
        <w:t>boys/men, over 10</w:t>
      </w:r>
      <w:r>
        <w:rPr>
          <w:color w:val="000000"/>
        </w:rPr>
        <w:t xml:space="preserve">% higher than the overall TDSB student population. Gifted students </w:t>
      </w:r>
      <w:r>
        <w:t>also have a higher representation of boys/men (56%).</w:t>
      </w:r>
      <w:r>
        <w:rPr>
          <w:color w:val="000000"/>
        </w:rPr>
        <w:t xml:space="preserve"> </w:t>
      </w:r>
    </w:p>
    <w:p w14:paraId="460EE325" w14:textId="77777777" w:rsidR="00E9300E" w:rsidRDefault="00E9300E" w:rsidP="00E9300E">
      <w:pPr>
        <w:pBdr>
          <w:top w:val="nil"/>
          <w:left w:val="nil"/>
          <w:bottom w:val="nil"/>
          <w:right w:val="nil"/>
          <w:between w:val="nil"/>
        </w:pBdr>
        <w:spacing w:before="0" w:after="0"/>
        <w:ind w:left="1440"/>
      </w:pPr>
    </w:p>
    <w:p w14:paraId="073C9125" w14:textId="77777777" w:rsidR="00E9300E" w:rsidRDefault="00E9300E" w:rsidP="00E9300E">
      <w:pPr>
        <w:pBdr>
          <w:top w:val="nil"/>
          <w:left w:val="nil"/>
          <w:bottom w:val="nil"/>
          <w:right w:val="nil"/>
          <w:between w:val="nil"/>
        </w:pBdr>
        <w:spacing w:before="0" w:after="0"/>
        <w:ind w:left="1440"/>
      </w:pPr>
    </w:p>
    <w:p w14:paraId="39073A68" w14:textId="77777777" w:rsidR="00E9300E" w:rsidRDefault="00E9300E" w:rsidP="00E9300E">
      <w:pPr>
        <w:pBdr>
          <w:top w:val="nil"/>
          <w:left w:val="nil"/>
          <w:bottom w:val="nil"/>
          <w:right w:val="nil"/>
          <w:between w:val="nil"/>
        </w:pBdr>
        <w:spacing w:before="0" w:after="0"/>
        <w:ind w:left="1440"/>
      </w:pPr>
    </w:p>
    <w:p w14:paraId="36FD8B32" w14:textId="3998E147" w:rsidR="00956901" w:rsidRDefault="00000000">
      <w:pPr>
        <w:numPr>
          <w:ilvl w:val="0"/>
          <w:numId w:val="1"/>
        </w:numPr>
        <w:pBdr>
          <w:top w:val="nil"/>
          <w:left w:val="nil"/>
          <w:bottom w:val="nil"/>
          <w:right w:val="nil"/>
          <w:between w:val="nil"/>
        </w:pBdr>
        <w:spacing w:before="0" w:after="0"/>
      </w:pPr>
      <w:r>
        <w:lastRenderedPageBreak/>
        <w:t xml:space="preserve">The 2022-23 Student Census also reveals disproportionalities by racial groups in students with SEN excluding gifted and the overall TDSB student population. Students who identified as Black represent 10% of the overall TDSB student </w:t>
      </w:r>
      <w:proofErr w:type="gramStart"/>
      <w:r>
        <w:t>population, but</w:t>
      </w:r>
      <w:proofErr w:type="gramEnd"/>
      <w:r>
        <w:t xml:space="preserve"> are 16% of students with SEN excluding gifted. Conversely, gifted students are more likely to identify as White (34% compared to 26% overall) and East Asian (26% compared to 13% overall). </w:t>
      </w:r>
    </w:p>
    <w:p w14:paraId="37D1E038" w14:textId="77777777" w:rsidR="00956901" w:rsidRDefault="00000000">
      <w:pPr>
        <w:numPr>
          <w:ilvl w:val="0"/>
          <w:numId w:val="1"/>
        </w:numPr>
        <w:pBdr>
          <w:top w:val="nil"/>
          <w:left w:val="nil"/>
          <w:bottom w:val="nil"/>
          <w:right w:val="nil"/>
          <w:between w:val="nil"/>
        </w:pBdr>
        <w:spacing w:before="0" w:after="0"/>
      </w:pPr>
      <w:r>
        <w:t>Students with SEN excluding gifted are more highly represented in families with low income (39%), whereas gifted students are much more represented in high income families (54%).</w:t>
      </w:r>
      <w:r>
        <w:rPr>
          <w:color w:val="000000"/>
        </w:rPr>
        <w:t xml:space="preserve"> </w:t>
      </w:r>
    </w:p>
    <w:p w14:paraId="0993A322" w14:textId="77777777" w:rsidR="00956901" w:rsidRDefault="00000000">
      <w:pPr>
        <w:numPr>
          <w:ilvl w:val="0"/>
          <w:numId w:val="1"/>
        </w:numPr>
        <w:pBdr>
          <w:top w:val="nil"/>
          <w:left w:val="nil"/>
          <w:bottom w:val="nil"/>
          <w:right w:val="nil"/>
          <w:between w:val="nil"/>
        </w:pBdr>
        <w:spacing w:before="0" w:after="0"/>
      </w:pPr>
      <w:r>
        <w:rPr>
          <w:color w:val="000000"/>
        </w:rPr>
        <w:t xml:space="preserve">Looking at a variety of achievement results, Gifted students achieve at a much higher level than the TDSB average. On the other hand, all students with SEN excluding gifted (exceptionalities without gifted, non-identified/IEP-only) achieve at a much lower level than the TDSB average. </w:t>
      </w:r>
    </w:p>
    <w:p w14:paraId="7FE5FA35" w14:textId="77777777" w:rsidR="00956901" w:rsidRDefault="00000000">
      <w:pPr>
        <w:numPr>
          <w:ilvl w:val="0"/>
          <w:numId w:val="1"/>
        </w:numPr>
        <w:pBdr>
          <w:top w:val="nil"/>
          <w:left w:val="nil"/>
          <w:bottom w:val="nil"/>
          <w:right w:val="nil"/>
          <w:between w:val="nil"/>
        </w:pBdr>
        <w:spacing w:before="0" w:after="0"/>
      </w:pPr>
      <w:r>
        <w:rPr>
          <w:color w:val="000000"/>
        </w:rPr>
        <w:t xml:space="preserve">While graduation rates have been increasing since at least 2000, there has always been a gap in graduation rates between the overall TDSB student population and students with SEN excluding Gifted. However, the size of the gap has been declining since 2007-08 and as of the Grade 9 cohort of 2016-17, approximately 74% of students with SEN </w:t>
      </w:r>
      <w:r>
        <w:t>excluding Gifted</w:t>
      </w:r>
      <w:r>
        <w:rPr>
          <w:color w:val="000000"/>
        </w:rPr>
        <w:t xml:space="preserve"> graduated compared with approximately 88% of students overall (a gap of ~14%). </w:t>
      </w:r>
    </w:p>
    <w:p w14:paraId="34BCBF90" w14:textId="77777777" w:rsidR="00956901" w:rsidRDefault="00000000">
      <w:pPr>
        <w:numPr>
          <w:ilvl w:val="0"/>
          <w:numId w:val="1"/>
        </w:numPr>
        <w:pBdr>
          <w:top w:val="nil"/>
          <w:left w:val="nil"/>
          <w:bottom w:val="nil"/>
          <w:right w:val="nil"/>
          <w:between w:val="nil"/>
        </w:pBdr>
        <w:spacing w:before="0"/>
      </w:pPr>
      <w:r>
        <w:rPr>
          <w:color w:val="000000"/>
        </w:rPr>
        <w:t xml:space="preserve">Post-secondary confirmations have been increasing since 2007-08. However, a gap between students with SEN </w:t>
      </w:r>
      <w:r>
        <w:t>excluding Gifted</w:t>
      </w:r>
      <w:r>
        <w:rPr>
          <w:color w:val="000000"/>
        </w:rPr>
        <w:t xml:space="preserve"> and TDSB overall has remained </w:t>
      </w:r>
      <w:proofErr w:type="gramStart"/>
      <w:r>
        <w:rPr>
          <w:color w:val="000000"/>
        </w:rPr>
        <w:t>fairly stable</w:t>
      </w:r>
      <w:proofErr w:type="gramEnd"/>
      <w:r>
        <w:rPr>
          <w:color w:val="000000"/>
        </w:rPr>
        <w:t xml:space="preserve">. In the Grade 9 cohort of 2016-17, approximately 67% of TDSB students confirmed a post-secondary offer compared to 46% of students with SEN </w:t>
      </w:r>
      <w:r>
        <w:t>excluding Gifted</w:t>
      </w:r>
      <w:r>
        <w:rPr>
          <w:color w:val="000000"/>
        </w:rPr>
        <w:t xml:space="preserve"> (a gap of ~21%).</w:t>
      </w:r>
    </w:p>
    <w:p w14:paraId="480DB7FA" w14:textId="77777777" w:rsidR="00956901" w:rsidRDefault="00000000">
      <w:pPr>
        <w:numPr>
          <w:ilvl w:val="0"/>
          <w:numId w:val="1"/>
        </w:numPr>
        <w:pBdr>
          <w:top w:val="nil"/>
          <w:left w:val="nil"/>
          <w:bottom w:val="nil"/>
          <w:right w:val="nil"/>
          <w:between w:val="nil"/>
        </w:pBdr>
        <w:spacing w:before="0"/>
      </w:pPr>
      <w:r>
        <w:rPr>
          <w:color w:val="000000"/>
        </w:rPr>
        <w:t xml:space="preserve">Overall, </w:t>
      </w:r>
      <w:proofErr w:type="gramStart"/>
      <w:r>
        <w:rPr>
          <w:color w:val="000000"/>
        </w:rPr>
        <w:t>the vast majority of</w:t>
      </w:r>
      <w:proofErr w:type="gramEnd"/>
      <w:r>
        <w:rPr>
          <w:color w:val="000000"/>
        </w:rPr>
        <w:t xml:space="preserve"> post-secondary confirmations at TDSB are to universities. However, as of the 2016-17 Grade 9 cohort, post-secondary confirmations for students with SEN </w:t>
      </w:r>
      <w:r>
        <w:t>excluding Gifted</w:t>
      </w:r>
      <w:r>
        <w:rPr>
          <w:color w:val="000000"/>
        </w:rPr>
        <w:t xml:space="preserve"> were more evenly split between colleges and universities. </w:t>
      </w:r>
    </w:p>
    <w:p w14:paraId="5157C24B" w14:textId="77777777" w:rsidR="00956901" w:rsidRDefault="00956901">
      <w:pPr>
        <w:ind w:left="1440"/>
      </w:pPr>
    </w:p>
    <w:p w14:paraId="2EC5943C" w14:textId="77777777" w:rsidR="00956901" w:rsidRDefault="00000000">
      <w:pPr>
        <w:pStyle w:val="Heading2"/>
        <w:ind w:firstLine="720"/>
      </w:pPr>
      <w:r>
        <w:t>Looking Ahead</w:t>
      </w:r>
    </w:p>
    <w:p w14:paraId="6CD4853B" w14:textId="77777777" w:rsidR="00956901" w:rsidRDefault="00000000">
      <w:pPr>
        <w:spacing w:before="0" w:after="0"/>
        <w:ind w:firstLine="720"/>
      </w:pPr>
      <w:r>
        <w:t xml:space="preserve">Subsequent fact sheets will focus on the following areas: </w:t>
      </w:r>
    </w:p>
    <w:p w14:paraId="3008148E" w14:textId="77777777" w:rsidR="00956901" w:rsidRDefault="00000000">
      <w:pPr>
        <w:numPr>
          <w:ilvl w:val="0"/>
          <w:numId w:val="1"/>
        </w:numPr>
        <w:pBdr>
          <w:top w:val="nil"/>
          <w:left w:val="nil"/>
          <w:bottom w:val="nil"/>
          <w:right w:val="nil"/>
          <w:between w:val="nil"/>
        </w:pBdr>
        <w:spacing w:before="0" w:after="0"/>
        <w:rPr>
          <w:color w:val="000000"/>
        </w:rPr>
      </w:pPr>
      <w:r>
        <w:rPr>
          <w:color w:val="000000"/>
        </w:rPr>
        <w:t xml:space="preserve">Identification (exceptionalities) </w:t>
      </w:r>
    </w:p>
    <w:p w14:paraId="4109699F" w14:textId="77777777" w:rsidR="00956901" w:rsidRDefault="00000000">
      <w:pPr>
        <w:numPr>
          <w:ilvl w:val="0"/>
          <w:numId w:val="1"/>
        </w:numPr>
        <w:pBdr>
          <w:top w:val="nil"/>
          <w:left w:val="nil"/>
          <w:bottom w:val="nil"/>
          <w:right w:val="nil"/>
          <w:between w:val="nil"/>
        </w:pBdr>
        <w:spacing w:before="0" w:after="0"/>
        <w:rPr>
          <w:color w:val="000000"/>
        </w:rPr>
      </w:pPr>
      <w:r>
        <w:rPr>
          <w:color w:val="000000"/>
        </w:rPr>
        <w:t>Placement (regular class, Intensive Support Programs, congregated settings)</w:t>
      </w:r>
    </w:p>
    <w:p w14:paraId="2125D108" w14:textId="77777777" w:rsidR="00956901" w:rsidRDefault="00000000">
      <w:pPr>
        <w:numPr>
          <w:ilvl w:val="0"/>
          <w:numId w:val="1"/>
        </w:numPr>
        <w:pBdr>
          <w:top w:val="nil"/>
          <w:left w:val="nil"/>
          <w:bottom w:val="nil"/>
          <w:right w:val="nil"/>
          <w:between w:val="nil"/>
        </w:pBdr>
        <w:spacing w:before="0"/>
      </w:pPr>
      <w:r>
        <w:rPr>
          <w:color w:val="000000"/>
        </w:rPr>
        <w:t xml:space="preserve">Outcomes (achievement, </w:t>
      </w:r>
      <w:proofErr w:type="gramStart"/>
      <w:r>
        <w:rPr>
          <w:color w:val="000000"/>
        </w:rPr>
        <w:t>pathways</w:t>
      </w:r>
      <w:proofErr w:type="gramEnd"/>
      <w:r>
        <w:rPr>
          <w:color w:val="000000"/>
        </w:rPr>
        <w:t xml:space="preserve"> and post-secondary trajectories)</w:t>
      </w:r>
    </w:p>
    <w:sectPr w:rsidR="00956901">
      <w:headerReference w:type="even" r:id="rId11"/>
      <w:headerReference w:type="default" r:id="rId12"/>
      <w:footerReference w:type="even" r:id="rId13"/>
      <w:footerReference w:type="default" r:id="rId14"/>
      <w:headerReference w:type="first" r:id="rId15"/>
      <w:footerReference w:type="first" r:id="rId16"/>
      <w:pgSz w:w="12240" w:h="15840"/>
      <w:pgMar w:top="162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4D56" w14:textId="77777777" w:rsidR="004124B0" w:rsidRDefault="004124B0">
      <w:pPr>
        <w:spacing w:before="0" w:after="0" w:line="240" w:lineRule="auto"/>
      </w:pPr>
      <w:r>
        <w:separator/>
      </w:r>
    </w:p>
  </w:endnote>
  <w:endnote w:type="continuationSeparator" w:id="0">
    <w:p w14:paraId="2A6EF212" w14:textId="77777777" w:rsidR="004124B0" w:rsidRDefault="004124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5334" w14:textId="77777777" w:rsidR="00956901" w:rsidRDefault="00956901">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B7B7" w14:textId="77777777" w:rsidR="00956901" w:rsidRDefault="00000000">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07739C">
      <w:rPr>
        <w:noProof/>
        <w:color w:val="000000"/>
      </w:rPr>
      <w:t>1</w:t>
    </w:r>
    <w:r>
      <w:rPr>
        <w:color w:val="000000"/>
      </w:rPr>
      <w:fldChar w:fldCharType="end"/>
    </w:r>
    <w:r>
      <w:rPr>
        <w:noProof/>
      </w:rPr>
      <w:drawing>
        <wp:anchor distT="0" distB="0" distL="114300" distR="114300" simplePos="0" relativeHeight="251656192" behindDoc="0" locked="0" layoutInCell="1" hidden="0" allowOverlap="1" wp14:anchorId="3CF73584" wp14:editId="72CCD826">
          <wp:simplePos x="0" y="0"/>
          <wp:positionH relativeFrom="column">
            <wp:posOffset>472440</wp:posOffset>
          </wp:positionH>
          <wp:positionV relativeFrom="paragraph">
            <wp:posOffset>3175</wp:posOffset>
          </wp:positionV>
          <wp:extent cx="1017270" cy="29019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7255"/>
                  <a:stretch>
                    <a:fillRect/>
                  </a:stretch>
                </pic:blipFill>
                <pic:spPr>
                  <a:xfrm>
                    <a:off x="0" y="0"/>
                    <a:ext cx="1017270" cy="290195"/>
                  </a:xfrm>
                  <a:prstGeom prst="rect">
                    <a:avLst/>
                  </a:prstGeom>
                  <a:ln/>
                </pic:spPr>
              </pic:pic>
            </a:graphicData>
          </a:graphic>
        </wp:anchor>
      </w:drawing>
    </w:r>
  </w:p>
  <w:p w14:paraId="5D96ADB0" w14:textId="77777777" w:rsidR="00956901" w:rsidRDefault="00956901">
    <w:pPr>
      <w:pBdr>
        <w:top w:val="nil"/>
        <w:left w:val="nil"/>
        <w:bottom w:val="nil"/>
        <w:right w:val="nil"/>
        <w:between w:val="nil"/>
      </w:pBdr>
      <w:tabs>
        <w:tab w:val="center" w:pos="4680"/>
        <w:tab w:val="right" w:pos="9360"/>
      </w:tabs>
      <w:spacing w:before="0"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95D6" w14:textId="77777777" w:rsidR="00956901" w:rsidRDefault="00956901">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AC80" w14:textId="77777777" w:rsidR="004124B0" w:rsidRDefault="004124B0">
      <w:pPr>
        <w:spacing w:before="0" w:after="0" w:line="240" w:lineRule="auto"/>
      </w:pPr>
      <w:r>
        <w:separator/>
      </w:r>
    </w:p>
  </w:footnote>
  <w:footnote w:type="continuationSeparator" w:id="0">
    <w:p w14:paraId="3F9036E8" w14:textId="77777777" w:rsidR="004124B0" w:rsidRDefault="004124B0">
      <w:pPr>
        <w:spacing w:before="0" w:after="0" w:line="240" w:lineRule="auto"/>
      </w:pPr>
      <w:r>
        <w:continuationSeparator/>
      </w:r>
    </w:p>
  </w:footnote>
  <w:footnote w:id="1">
    <w:p w14:paraId="3D88C0C9" w14:textId="77777777" w:rsidR="00956901" w:rsidRDefault="00000000">
      <w:pPr>
        <w:spacing w:before="0" w:after="0" w:line="240" w:lineRule="auto"/>
        <w:rPr>
          <w:sz w:val="20"/>
          <w:szCs w:val="20"/>
        </w:rPr>
      </w:pPr>
      <w:r>
        <w:rPr>
          <w:vertAlign w:val="superscript"/>
        </w:rPr>
        <w:footnoteRef/>
      </w:r>
      <w:r>
        <w:rPr>
          <w:sz w:val="20"/>
          <w:szCs w:val="20"/>
        </w:rPr>
        <w:t xml:space="preserve"> Percentages do not add up to 100%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B7F0" w14:textId="77777777" w:rsidR="00956901" w:rsidRDefault="00000000">
    <w:pPr>
      <w:pBdr>
        <w:top w:val="nil"/>
        <w:left w:val="nil"/>
        <w:bottom w:val="nil"/>
        <w:right w:val="nil"/>
        <w:between w:val="nil"/>
      </w:pBdr>
      <w:tabs>
        <w:tab w:val="center" w:pos="4680"/>
        <w:tab w:val="right" w:pos="9360"/>
      </w:tabs>
      <w:spacing w:before="0" w:after="0" w:line="240" w:lineRule="auto"/>
      <w:rPr>
        <w:color w:val="000000"/>
      </w:rPr>
    </w:pPr>
    <w:r>
      <w:rPr>
        <w:color w:val="000000"/>
      </w:rPr>
      <w:pict w14:anchorId="0C8F1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466.7pt;height:604.15pt;z-index:-251657216;mso-position-horizontal:center;mso-position-horizontal-relative:margin;mso-position-vertical:center;mso-position-vertical-relative:margin">
          <v:imagedata r:id="rId1" o:title="imag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5E0E" w14:textId="77777777" w:rsidR="00956901" w:rsidRDefault="00000000">
    <w:pPr>
      <w:pBdr>
        <w:top w:val="nil"/>
        <w:left w:val="nil"/>
        <w:bottom w:val="nil"/>
        <w:right w:val="nil"/>
        <w:between w:val="nil"/>
      </w:pBdr>
      <w:tabs>
        <w:tab w:val="center" w:pos="4680"/>
        <w:tab w:val="right" w:pos="9360"/>
      </w:tabs>
      <w:spacing w:before="0" w:after="0" w:line="240" w:lineRule="auto"/>
      <w:rPr>
        <w:color w:val="000000"/>
      </w:rPr>
    </w:pPr>
    <w:r>
      <w:rPr>
        <w:color w:val="000000"/>
      </w:rPr>
      <w:pict w14:anchorId="68130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TDSB Fact Sheet BG" style="position:absolute;left:0;text-align:left;margin-left:0;margin-top:0;width:620.4pt;height:803.1pt;z-index:-251659264;mso-position-horizontal:center;mso-position-horizontal-relative:margin;mso-position-vertical:center;mso-position-vertical-relative:margin">
          <v:imagedata r:id="rId1" o:title="image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80E8" w14:textId="77777777" w:rsidR="00956901" w:rsidRDefault="00000000">
    <w:pPr>
      <w:pBdr>
        <w:top w:val="nil"/>
        <w:left w:val="nil"/>
        <w:bottom w:val="nil"/>
        <w:right w:val="nil"/>
        <w:between w:val="nil"/>
      </w:pBdr>
      <w:tabs>
        <w:tab w:val="center" w:pos="4680"/>
        <w:tab w:val="right" w:pos="9360"/>
      </w:tabs>
      <w:spacing w:before="0" w:after="0" w:line="240" w:lineRule="auto"/>
      <w:rPr>
        <w:color w:val="000000"/>
      </w:rPr>
    </w:pPr>
    <w:r>
      <w:rPr>
        <w:color w:val="000000"/>
      </w:rPr>
      <w:pict w14:anchorId="378D2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466.7pt;height:604.15pt;z-index:-251658240;mso-position-horizontal:center;mso-position-horizontal-relative:margin;mso-position-vertical:center;mso-position-vertical-relative:margin">
          <v:imagedata r:id="rId1" o:title="image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B043A"/>
    <w:multiLevelType w:val="multilevel"/>
    <w:tmpl w:val="CCCA0C1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C337A8"/>
    <w:multiLevelType w:val="multilevel"/>
    <w:tmpl w:val="A89CED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ED45CC6"/>
    <w:multiLevelType w:val="multilevel"/>
    <w:tmpl w:val="D486C0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375500625">
    <w:abstractNumId w:val="1"/>
  </w:num>
  <w:num w:numId="2" w16cid:durableId="142427661">
    <w:abstractNumId w:val="2"/>
  </w:num>
  <w:num w:numId="3" w16cid:durableId="2008239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01"/>
    <w:rsid w:val="0007739C"/>
    <w:rsid w:val="004124B0"/>
    <w:rsid w:val="00956901"/>
    <w:rsid w:val="00E9300E"/>
    <w:rsid w:val="00F31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7E23A"/>
  <w15:docId w15:val="{FA340771-5B58-4F0A-996D-F8058B26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E4"/>
  </w:style>
  <w:style w:type="paragraph" w:styleId="Heading1">
    <w:name w:val="heading 1"/>
    <w:basedOn w:val="Normal"/>
    <w:next w:val="Normal"/>
    <w:link w:val="Heading1Char"/>
    <w:uiPriority w:val="9"/>
    <w:qFormat/>
    <w:rsid w:val="00EA473B"/>
    <w:pPr>
      <w:keepNext/>
      <w:keepLines/>
      <w:tabs>
        <w:tab w:val="left" w:pos="5760"/>
        <w:tab w:val="left" w:pos="9360"/>
      </w:tabs>
      <w:jc w:val="center"/>
      <w:outlineLvl w:val="0"/>
    </w:pPr>
    <w:rPr>
      <w:rFonts w:eastAsiaTheme="majorEastAsia" w:cstheme="majorBidi"/>
      <w:b/>
      <w:bCs/>
      <w:sz w:val="36"/>
    </w:rPr>
  </w:style>
  <w:style w:type="paragraph" w:styleId="Heading2">
    <w:name w:val="heading 2"/>
    <w:basedOn w:val="Normal"/>
    <w:next w:val="Normal"/>
    <w:link w:val="Heading2Char"/>
    <w:uiPriority w:val="9"/>
    <w:unhideWhenUsed/>
    <w:qFormat/>
    <w:rsid w:val="002453E1"/>
    <w:pPr>
      <w:keepNext/>
      <w:keepLines/>
      <w:spacing w:before="0" w:after="0"/>
      <w:outlineLvl w:val="1"/>
    </w:pPr>
    <w:rPr>
      <w:rFonts w:eastAsiaTheme="majorEastAsia" w:cstheme="majorBidi"/>
      <w:b/>
      <w:bCs/>
      <w:spacing w:val="20"/>
    </w:rPr>
  </w:style>
  <w:style w:type="paragraph" w:styleId="Heading3">
    <w:name w:val="heading 3"/>
    <w:basedOn w:val="Normal"/>
    <w:next w:val="Normal"/>
    <w:link w:val="Heading3Char"/>
    <w:uiPriority w:val="9"/>
    <w:semiHidden/>
    <w:unhideWhenUsed/>
    <w:qFormat/>
    <w:rsid w:val="002B16B6"/>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uiPriority w:val="9"/>
    <w:semiHidden/>
    <w:unhideWhenUsed/>
    <w:qFormat/>
    <w:rsid w:val="00E76878"/>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A473B"/>
    <w:rPr>
      <w:rFonts w:ascii="Arial" w:eastAsiaTheme="majorEastAsia" w:hAnsi="Arial" w:cstheme="majorBidi"/>
      <w:b/>
      <w:bCs/>
      <w:sz w:val="36"/>
      <w:szCs w:val="24"/>
    </w:rPr>
  </w:style>
  <w:style w:type="character" w:customStyle="1" w:styleId="Heading2Char">
    <w:name w:val="Heading 2 Char"/>
    <w:basedOn w:val="DefaultParagraphFont"/>
    <w:link w:val="Heading2"/>
    <w:uiPriority w:val="9"/>
    <w:rsid w:val="002453E1"/>
    <w:rPr>
      <w:rFonts w:ascii="Arial" w:eastAsiaTheme="majorEastAsia" w:hAnsi="Arial" w:cstheme="majorBidi"/>
      <w:b/>
      <w:bCs/>
      <w:spacing w:val="20"/>
      <w:sz w:val="24"/>
      <w:szCs w:val="24"/>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2B16B6"/>
    <w:rPr>
      <w:rFonts w:ascii="Arial" w:eastAsiaTheme="majorEastAsia" w:hAnsi="Arial" w:cstheme="majorBidi"/>
      <w:b/>
      <w:bCs/>
      <w:sz w:val="24"/>
    </w:rPr>
  </w:style>
  <w:style w:type="paragraph" w:styleId="ListParagraph">
    <w:name w:val="List Paragraph"/>
    <w:basedOn w:val="Normal"/>
    <w:autoRedefine/>
    <w:uiPriority w:val="34"/>
    <w:qFormat/>
    <w:rsid w:val="00A6266B"/>
    <w:pPr>
      <w:numPr>
        <w:numId w:val="3"/>
      </w:numPr>
      <w:spacing w:before="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840A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40A19"/>
    <w:rPr>
      <w:rFonts w:ascii="Arial" w:hAnsi="Arial"/>
      <w:sz w:val="24"/>
    </w:rPr>
  </w:style>
  <w:style w:type="paragraph" w:styleId="Footer">
    <w:name w:val="footer"/>
    <w:basedOn w:val="Normal"/>
    <w:link w:val="FooterChar"/>
    <w:uiPriority w:val="99"/>
    <w:unhideWhenUsed/>
    <w:rsid w:val="00840A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40A19"/>
    <w:rPr>
      <w:rFonts w:ascii="Arial" w:hAnsi="Arial"/>
      <w:sz w:val="24"/>
    </w:rPr>
  </w:style>
  <w:style w:type="character" w:styleId="Hyperlink">
    <w:name w:val="Hyperlink"/>
    <w:basedOn w:val="DefaultParagraphFont"/>
    <w:uiPriority w:val="99"/>
    <w:unhideWhenUsed/>
    <w:rsid w:val="006D5303"/>
    <w:rPr>
      <w:color w:val="0000FF" w:themeColor="hyperlink"/>
      <w:u w:val="single"/>
    </w:rPr>
  </w:style>
  <w:style w:type="character" w:styleId="UnresolvedMention">
    <w:name w:val="Unresolved Mention"/>
    <w:basedOn w:val="DefaultParagraphFont"/>
    <w:uiPriority w:val="99"/>
    <w:semiHidden/>
    <w:unhideWhenUsed/>
    <w:rsid w:val="006D5303"/>
    <w:rPr>
      <w:color w:val="605E5C"/>
      <w:shd w:val="clear" w:color="auto" w:fill="E1DFDD"/>
    </w:rPr>
  </w:style>
  <w:style w:type="paragraph" w:styleId="NormalWeb">
    <w:name w:val="Normal (Web)"/>
    <w:basedOn w:val="Normal"/>
    <w:uiPriority w:val="99"/>
    <w:unhideWhenUsed/>
    <w:rsid w:val="00A921E4"/>
    <w:pPr>
      <w:spacing w:before="100" w:beforeAutospacing="1" w:after="100" w:afterAutospacing="1" w:line="240" w:lineRule="auto"/>
      <w:ind w:left="0"/>
    </w:pPr>
    <w:rPr>
      <w:rFonts w:ascii="Times New Roman" w:eastAsia="Times New Roman" w:hAnsi="Times New Roman" w:cs="Times New Roman"/>
    </w:rPr>
  </w:style>
  <w:style w:type="paragraph" w:styleId="Revision">
    <w:name w:val="Revision"/>
    <w:hidden/>
    <w:uiPriority w:val="99"/>
    <w:semiHidden/>
    <w:rsid w:val="00A6266B"/>
    <w:pPr>
      <w:spacing w:after="0" w:line="240" w:lineRule="auto"/>
    </w:pPr>
  </w:style>
  <w:style w:type="paragraph" w:styleId="BalloonText">
    <w:name w:val="Balloon Text"/>
    <w:basedOn w:val="Normal"/>
    <w:link w:val="BalloonTextChar"/>
    <w:uiPriority w:val="99"/>
    <w:semiHidden/>
    <w:unhideWhenUsed/>
    <w:rsid w:val="00D8057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57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ntario.ca/document/special-education-ontario-policy-and-resource-guide-kindergarten-grade-12/categor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uaHXqT+zDk2+0l2nWFPzA5BfMA==">CgMxLjA4AHIhMWVDMDd1ZlNnOFZPdklrdnpldDdzcjRCX3lzbzNfUFo2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806</Words>
  <Characters>4597</Characters>
  <Application>Microsoft Office Word</Application>
  <DocSecurity>0</DocSecurity>
  <Lines>38</Lines>
  <Paragraphs>10</Paragraphs>
  <ScaleCrop>false</ScaleCrop>
  <Company>Toronto District School Board</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Armson, Sarah</dc:creator>
  <cp:lastModifiedBy>Palmer, Nandy</cp:lastModifiedBy>
  <cp:revision>2</cp:revision>
  <dcterms:created xsi:type="dcterms:W3CDTF">2024-04-03T13:30:00Z</dcterms:created>
  <dcterms:modified xsi:type="dcterms:W3CDTF">2024-04-03T13:30:00Z</dcterms:modified>
</cp:coreProperties>
</file>