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4, 2021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Une affirmation et une résolution pour le nouvel an</w:t>
      </w:r>
    </w:p>
    <w:p w:rsidR="00000000" w:rsidDel="00000000" w:rsidP="00000000" w:rsidRDefault="00000000" w:rsidRPr="00000000" w14:paraId="00000014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Je crée un journal de réflexion. Je regarde une vidéo à propos des affirmations et j’utilise des stratégies d’écoute. Je démontre ma compréhension de plusieurs façons et je fais des liens pour parler de mes sentiments et de mes intérêts.</w:t>
            </w:r>
          </w:p>
        </w:tc>
      </w:tr>
      <w:tr>
        <w:trPr>
          <w:trHeight w:val="46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Bienvenue après le congé et bienvenue à l'année 2021! Commence avec un moment de réflexion. Utilise un journal, une feuille de papier ou un document Google pour écrire tes réponses aux questions ou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en forme de paragraphe chaque jour. Continue à écrire dans ton journal chaque semaine.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Mon journal de réflexion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la date: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Aujourd’hui c’est (jour) le (#), 2021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ça va?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 suis….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 me sens…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fait pendant les vacances/le congé?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Pendant le congé, j’ai….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meilleur moment de 2020 pour toi? Pourquoi?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 meilleur moment de 2020 pour moi c’est…parce que...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color w:val="0054a6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cette vidéo de la série: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Mini Yoga - Mini affirmation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Season 3 Episode 2 : Mini Affirmation : J'ai confiance en moi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color w:val="0054a6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Réponds à ces questions: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c’est une affirmation?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Démontre ou dessine les actions suivantes: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Inspirer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Expirer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l’affirmation que Lexie donne dans la vidéo?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autre affirmation veux-tu apprendre?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d’autres vidéos de la série. Regarde les vidéos 2 ou 3 fois et utilise les sous-titres et la transcription pour t’aider. 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liste des affirmations qui sont les meilleures pour toi et crée des images ou des représentations de chaque affirmation.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L’affirmation 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La représentation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J’ai un grand coeur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1504950" cy="1206500"/>
                        <wp:effectExtent b="0" l="0" r="0" t="0"/>
                        <wp:docPr id="3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4950" cy="12065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L’année 2021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affiche ou une vidéo avec une ou plusieurs nouvelles affirmations.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liste de résolutions pour l'année 2021.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expressions utiles: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En 2021 je…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Cette année je vais…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Cette année je veux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Cette année je dois…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Partage ton travail avec un membre de ta famille.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ocs.google.com/document/d/180flQtS1GaZed6_p5B9dg4g6nyKha3XHaDMOWC3qnAE/copy?usp=sharing" TargetMode="External"/><Relationship Id="rId8" Type="http://schemas.openxmlformats.org/officeDocument/2006/relationships/hyperlink" Target="https://www.idello.org/en/resource/25713-Mini-Affirmation-Jai-Confiance-En-Mo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