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19" w:rsidRPr="00DE4CE0" w:rsidRDefault="00680319" w:rsidP="00E46E5D">
      <w:pPr>
        <w:pStyle w:val="Title"/>
      </w:pPr>
      <w:r w:rsidRPr="00DE4CE0">
        <w:t>Toronto District School Board</w:t>
      </w:r>
    </w:p>
    <w:p w:rsidR="00680319" w:rsidRPr="00DE4CE0" w:rsidRDefault="00680319" w:rsidP="00E46E5D">
      <w:r w:rsidRPr="00DE4CE0">
        <w:rPr>
          <w:noProof/>
          <w:lang w:eastAsia="en-CA"/>
        </w:rPr>
        <mc:AlternateContent>
          <mc:Choice Requires="wps">
            <w:drawing>
              <wp:anchor distT="0" distB="0" distL="114300" distR="114300" simplePos="0" relativeHeight="251659264" behindDoc="0" locked="0" layoutInCell="0" allowOverlap="1" wp14:anchorId="1643C876" wp14:editId="416E1C7A">
                <wp:simplePos x="0" y="0"/>
                <wp:positionH relativeFrom="column">
                  <wp:align>center</wp:align>
                </wp:positionH>
                <wp:positionV relativeFrom="paragraph">
                  <wp:posOffset>133350</wp:posOffset>
                </wp:positionV>
                <wp:extent cx="59436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" o:allowincell="f"/>
            </w:pict>
          </mc:Fallback>
        </mc:AlternateContent>
      </w:r>
    </w:p>
    <w:p w:rsidR="00680319" w:rsidRPr="00DE4CE0" w:rsidRDefault="0063176D" w:rsidP="00E5408E">
      <w:pPr>
        <w:jc w:val="right"/>
      </w:pPr>
      <w:r>
        <w:t>Policy P013</w:t>
      </w:r>
    </w:p>
    <w:p w:rsidR="00680319" w:rsidRPr="00DE4CE0" w:rsidRDefault="00680319" w:rsidP="00E46E5D"/>
    <w:p w:rsidR="00680319" w:rsidRPr="00E149E9" w:rsidRDefault="00680319" w:rsidP="00E149E9">
      <w:pPr>
        <w:ind w:left="2340" w:hanging="1800"/>
        <w:rPr>
          <w:b/>
        </w:rPr>
      </w:pPr>
      <w:r w:rsidRPr="00DE4CE0">
        <w:t>Title:</w:t>
      </w:r>
      <w:r w:rsidRPr="00DE4CE0">
        <w:tab/>
      </w:r>
      <w:r w:rsidR="0087643C">
        <w:rPr>
          <w:b/>
        </w:rPr>
        <w:t xml:space="preserve">Attendance at Schools Outside of Designated Attendance Area </w:t>
      </w:r>
      <w:r w:rsidR="0063176D">
        <w:rPr>
          <w:b/>
        </w:rPr>
        <w:t>(formerly Optional Attendance)</w:t>
      </w:r>
    </w:p>
    <w:p w:rsidR="00680319" w:rsidRPr="00DE4CE0" w:rsidRDefault="00680319" w:rsidP="00845A9F">
      <w:pPr>
        <w:ind w:left="2340" w:hanging="1800"/>
      </w:pPr>
    </w:p>
    <w:p w:rsidR="00680319" w:rsidRPr="00DE4CE0" w:rsidRDefault="00680319" w:rsidP="00845A9F">
      <w:pPr>
        <w:ind w:left="2340" w:hanging="1800"/>
      </w:pPr>
      <w:r w:rsidRPr="00DE4CE0">
        <w:t>Adopted:</w:t>
      </w:r>
      <w:r w:rsidRPr="00DE4CE0">
        <w:tab/>
        <w:t>[date of approval of the policy]</w:t>
      </w:r>
    </w:p>
    <w:p w:rsidR="00680319" w:rsidRPr="00DE4CE0" w:rsidRDefault="00680319" w:rsidP="00845A9F">
      <w:pPr>
        <w:ind w:left="2340" w:hanging="1800"/>
      </w:pPr>
      <w:r w:rsidRPr="00DE4CE0">
        <w:t>Effected:</w:t>
      </w:r>
      <w:r w:rsidRPr="00DE4CE0">
        <w:tab/>
        <w:t>[date when the policy came into effect]</w:t>
      </w:r>
    </w:p>
    <w:p w:rsidR="00680319" w:rsidRPr="00DE4CE0" w:rsidRDefault="00680319" w:rsidP="00845A9F">
      <w:pPr>
        <w:ind w:left="2340" w:hanging="1800"/>
      </w:pPr>
      <w:r w:rsidRPr="00DE4CE0">
        <w:t>Revised:</w:t>
      </w:r>
      <w:r w:rsidRPr="00DE4CE0">
        <w:tab/>
        <w:t>[</w:t>
      </w:r>
      <w:r w:rsidR="003F2877" w:rsidRPr="00DE4CE0">
        <w:t>date when the policy was amended</w:t>
      </w:r>
      <w:r w:rsidRPr="00DE4CE0">
        <w:t>]</w:t>
      </w:r>
    </w:p>
    <w:p w:rsidR="00680319" w:rsidRPr="00DE4CE0" w:rsidRDefault="00680319" w:rsidP="00845A9F">
      <w:pPr>
        <w:ind w:left="2340" w:hanging="1800"/>
      </w:pPr>
      <w:r w:rsidRPr="00DE4CE0">
        <w:t>Reviewed:</w:t>
      </w:r>
      <w:r w:rsidRPr="00DE4CE0">
        <w:tab/>
        <w:t>[date when the policy was reviewed]</w:t>
      </w:r>
    </w:p>
    <w:p w:rsidR="00680319" w:rsidRPr="00DE4CE0" w:rsidRDefault="00E149E9" w:rsidP="00845A9F">
      <w:pPr>
        <w:ind w:left="2340" w:hanging="1800"/>
      </w:pPr>
      <w:r>
        <w:t>Authorization:</w:t>
      </w:r>
      <w:r>
        <w:tab/>
        <w:t>Board of Trustees</w:t>
      </w:r>
    </w:p>
    <w:p w:rsidR="00680319" w:rsidRPr="00DE4CE0" w:rsidRDefault="00680319" w:rsidP="00E46E5D">
      <w:r w:rsidRPr="00DE4CE0">
        <w:rPr>
          <w:noProof/>
          <w:lang w:eastAsia="en-CA"/>
        </w:rPr>
        <mc:AlternateContent>
          <mc:Choice Requires="wps">
            <w:drawing>
              <wp:anchor distT="0" distB="0" distL="114300" distR="114300" simplePos="0" relativeHeight="251660288" behindDoc="0" locked="0" layoutInCell="0" allowOverlap="1" wp14:anchorId="38474FD9" wp14:editId="22CEF9B2">
                <wp:simplePos x="0" y="0"/>
                <wp:positionH relativeFrom="column">
                  <wp:align>center</wp:align>
                </wp:positionH>
                <wp:positionV relativeFrom="paragraph">
                  <wp:posOffset>229870</wp:posOffset>
                </wp:positionV>
                <wp:extent cx="59436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" o:allowincell="f"/>
            </w:pict>
          </mc:Fallback>
        </mc:AlternateContent>
      </w:r>
    </w:p>
    <w:p w:rsidR="00680319" w:rsidRPr="00DE4CE0" w:rsidRDefault="00680319" w:rsidP="00E46E5D"/>
    <w:p w:rsidR="00680319" w:rsidRPr="00DE4CE0" w:rsidRDefault="00680319" w:rsidP="00E46E5D">
      <w:pPr>
        <w:pStyle w:val="Heading1"/>
      </w:pPr>
      <w:r w:rsidRPr="00DE4CE0">
        <w:t>RATIONALE</w:t>
      </w:r>
    </w:p>
    <w:p w:rsidR="00492326" w:rsidRDefault="00E149E9" w:rsidP="00057659">
      <w:r>
        <w:t>The</w:t>
      </w:r>
      <w:r w:rsidRPr="00E149E9">
        <w:rPr>
          <w:b/>
        </w:rPr>
        <w:t xml:space="preserve"> </w:t>
      </w:r>
      <w:r w:rsidR="0087643C">
        <w:rPr>
          <w:b/>
        </w:rPr>
        <w:t xml:space="preserve">Attendance at Schools Outside of Designated Attendance Area </w:t>
      </w:r>
      <w:r>
        <w:t>Policy (P013)</w:t>
      </w:r>
      <w:r w:rsidR="00922DCA">
        <w:t xml:space="preserve"> (the “Policy”)</w:t>
      </w:r>
      <w:r>
        <w:t xml:space="preserve"> supports implementation of</w:t>
      </w:r>
      <w:r w:rsidR="00057659">
        <w:t xml:space="preserve"> the legislative requirements as outlined in Section 171(1), par. 7 of the </w:t>
      </w:r>
      <w:r w:rsidR="00057659" w:rsidRPr="0063176D">
        <w:rPr>
          <w:i/>
        </w:rPr>
        <w:t>Education Act</w:t>
      </w:r>
      <w:r w:rsidR="00057659">
        <w:t xml:space="preserve">, which authorizes the Toronto </w:t>
      </w:r>
      <w:r w:rsidR="0063176D">
        <w:t xml:space="preserve">District School Board </w:t>
      </w:r>
      <w:r w:rsidR="00057659">
        <w:t>to determine</w:t>
      </w:r>
      <w:r w:rsidR="0063176D">
        <w:t xml:space="preserve"> attendance a</w:t>
      </w:r>
      <w:r w:rsidR="00057659">
        <w:t>reas for each school and assign</w:t>
      </w:r>
      <w:r w:rsidR="0063176D">
        <w:t xml:space="preserve"> students to particular schools base</w:t>
      </w:r>
      <w:r w:rsidR="0053259D">
        <w:t>d on the address of the parents/guardians</w:t>
      </w:r>
      <w:r w:rsidR="00057659">
        <w:t xml:space="preserve">. </w:t>
      </w:r>
    </w:p>
    <w:p w:rsidR="00492326" w:rsidRDefault="00492326" w:rsidP="00057659"/>
    <w:p w:rsidR="00680319" w:rsidRDefault="00492326" w:rsidP="00057659">
      <w:r>
        <w:t>The</w:t>
      </w:r>
      <w:r w:rsidR="00057659">
        <w:t xml:space="preserve"> Board recognizes that parents and students may wish to choose a school which lies outside of the designated attendance area. As such, t</w:t>
      </w:r>
      <w:r w:rsidR="0063176D">
        <w:t xml:space="preserve">he Board is committed to supporting strong neighbourhood schools that are easily accessible and that provide </w:t>
      </w:r>
      <w:r>
        <w:t>programm</w:t>
      </w:r>
      <w:r w:rsidR="0087643C">
        <w:t>ing</w:t>
      </w:r>
      <w:r>
        <w:t xml:space="preserve"> </w:t>
      </w:r>
      <w:r w:rsidR="0063176D">
        <w:t xml:space="preserve">to meet the diverse needs of its students. </w:t>
      </w:r>
    </w:p>
    <w:p w:rsidR="00057659" w:rsidRDefault="00057659" w:rsidP="00057659"/>
    <w:p w:rsidR="00057659" w:rsidRPr="00E46E5D" w:rsidRDefault="00057659" w:rsidP="00057659">
      <w:r>
        <w:t xml:space="preserve">This Policy </w:t>
      </w:r>
      <w:r w:rsidR="006C590C">
        <w:t xml:space="preserve">aligns with Board policies including the </w:t>
      </w:r>
      <w:r>
        <w:t xml:space="preserve">Equity Policy and </w:t>
      </w:r>
      <w:r w:rsidR="009205C5">
        <w:t>is</w:t>
      </w:r>
      <w:r>
        <w:t xml:space="preserve"> </w:t>
      </w:r>
      <w:r w:rsidR="006C590C">
        <w:t xml:space="preserve">consistent with </w:t>
      </w:r>
      <w:r>
        <w:t>the</w:t>
      </w:r>
      <w:r w:rsidR="006C590C">
        <w:t xml:space="preserve"> </w:t>
      </w:r>
      <w:r w:rsidR="006C590C" w:rsidRPr="006C590C">
        <w:rPr>
          <w:i/>
        </w:rPr>
        <w:t>Ontario</w:t>
      </w:r>
      <w:r w:rsidRPr="006C590C">
        <w:rPr>
          <w:i/>
        </w:rPr>
        <w:t xml:space="preserve"> Human</w:t>
      </w:r>
      <w:r w:rsidRPr="00423982">
        <w:rPr>
          <w:i/>
        </w:rPr>
        <w:t xml:space="preserve"> Rights Code</w:t>
      </w:r>
      <w:r>
        <w:t>.</w:t>
      </w:r>
    </w:p>
    <w:p w:rsidR="00680319" w:rsidRPr="00DE4CE0" w:rsidRDefault="00680319" w:rsidP="00E46E5D">
      <w:pPr>
        <w:pStyle w:val="Heading1"/>
      </w:pPr>
      <w:r w:rsidRPr="00DE4CE0">
        <w:t>OBJECTIVE</w:t>
      </w:r>
    </w:p>
    <w:p w:rsidR="00680319" w:rsidRPr="00DE4CE0" w:rsidRDefault="006C590C" w:rsidP="00E46E5D">
      <w:r>
        <w:t>To provide p</w:t>
      </w:r>
      <w:r w:rsidR="0063176D">
        <w:t xml:space="preserve">olicy direction about access to schools outside a student’s designated </w:t>
      </w:r>
      <w:r w:rsidR="009F6EFA">
        <w:t xml:space="preserve">attendance area. </w:t>
      </w:r>
    </w:p>
    <w:p w:rsidR="00680319" w:rsidRPr="00DE4CE0" w:rsidRDefault="00680319" w:rsidP="00E46E5D">
      <w:pPr>
        <w:pStyle w:val="Heading1"/>
      </w:pPr>
      <w:r w:rsidRPr="00DE4CE0">
        <w:t>DEFINITIONS</w:t>
      </w:r>
    </w:p>
    <w:p w:rsidR="000A6E81" w:rsidRDefault="000A6E81" w:rsidP="00E46E5D">
      <w:r>
        <w:rPr>
          <w:i/>
        </w:rPr>
        <w:t>Address</w:t>
      </w:r>
      <w:r>
        <w:t xml:space="preserve"> refers to the principal residence of a parent/guardian/adult student.</w:t>
      </w:r>
    </w:p>
    <w:p w:rsidR="009F6EFA" w:rsidRDefault="009F6EFA" w:rsidP="009F6EFA">
      <w:pPr>
        <w:ind w:left="0"/>
        <w:rPr>
          <w:i/>
        </w:rPr>
      </w:pPr>
    </w:p>
    <w:p w:rsidR="006C590C" w:rsidRDefault="006C590C" w:rsidP="000A6E81">
      <w:pPr>
        <w:rPr>
          <w:i/>
        </w:rPr>
      </w:pPr>
      <w:r>
        <w:rPr>
          <w:i/>
        </w:rPr>
        <w:t xml:space="preserve">Board </w:t>
      </w:r>
      <w:r w:rsidRPr="006C590C">
        <w:t>is the</w:t>
      </w:r>
      <w:r w:rsidRPr="00DE4CE0">
        <w:t xml:space="preserve"> Toronto District School Board, which is also referred to as the “</w:t>
      </w:r>
      <w:r>
        <w:t>TDSB</w:t>
      </w:r>
      <w:r w:rsidRPr="00DE4CE0">
        <w:t>”.</w:t>
      </w:r>
    </w:p>
    <w:p w:rsidR="006C590C" w:rsidRDefault="006C590C" w:rsidP="000A6E81">
      <w:pPr>
        <w:rPr>
          <w:i/>
        </w:rPr>
      </w:pPr>
    </w:p>
    <w:p w:rsidR="000A6E81" w:rsidRDefault="000A6E81" w:rsidP="000A6E81">
      <w:r w:rsidRPr="000A6E81">
        <w:rPr>
          <w:i/>
        </w:rPr>
        <w:t xml:space="preserve">Child Care </w:t>
      </w:r>
      <w:r w:rsidRPr="000A6E81">
        <w:t>refers to licensed early learning and care programs for children from birth to</w:t>
      </w:r>
      <w:r>
        <w:t xml:space="preserve"> </w:t>
      </w:r>
      <w:r w:rsidRPr="000A6E81">
        <w:t>3.8 years of age.</w:t>
      </w:r>
    </w:p>
    <w:p w:rsidR="00922DCA" w:rsidRPr="00575005" w:rsidRDefault="00922DCA" w:rsidP="00575005">
      <w:pPr>
        <w:rPr>
          <w:i/>
        </w:rPr>
      </w:pPr>
      <w:r w:rsidRPr="00922DCA">
        <w:rPr>
          <w:i/>
        </w:rPr>
        <w:lastRenderedPageBreak/>
        <w:t xml:space="preserve">Designated </w:t>
      </w:r>
      <w:r>
        <w:rPr>
          <w:i/>
        </w:rPr>
        <w:t xml:space="preserve">Attendance </w:t>
      </w:r>
      <w:r w:rsidRPr="00922DCA">
        <w:rPr>
          <w:i/>
        </w:rPr>
        <w:t>Area</w:t>
      </w:r>
      <w:r w:rsidRPr="00575005">
        <w:rPr>
          <w:i/>
        </w:rPr>
        <w:t xml:space="preserve"> is the </w:t>
      </w:r>
      <w:r w:rsidR="00FC2846" w:rsidRPr="00575005">
        <w:rPr>
          <w:i/>
        </w:rPr>
        <w:t xml:space="preserve">geographic </w:t>
      </w:r>
      <w:r w:rsidRPr="00575005">
        <w:rPr>
          <w:i/>
        </w:rPr>
        <w:t>area served by a designated school.</w:t>
      </w:r>
    </w:p>
    <w:p w:rsidR="00922DCA" w:rsidRPr="000A6E81" w:rsidRDefault="00922DCA" w:rsidP="000A6E81"/>
    <w:p w:rsidR="00305E4D" w:rsidRDefault="000A6E81" w:rsidP="00E46E5D">
      <w:r w:rsidRPr="000A6E81">
        <w:rPr>
          <w:i/>
        </w:rPr>
        <w:t xml:space="preserve">Designated school </w:t>
      </w:r>
      <w:r>
        <w:t>is the school identified by the parent’s/</w:t>
      </w:r>
      <w:proofErr w:type="gramStart"/>
      <w:r w:rsidR="00575005">
        <w:t>guardian’s</w:t>
      </w:r>
      <w:proofErr w:type="gramEnd"/>
      <w:r>
        <w:t xml:space="preserve"> residential address.</w:t>
      </w:r>
    </w:p>
    <w:p w:rsidR="000A6E81" w:rsidRDefault="000A6E81" w:rsidP="00E46E5D"/>
    <w:p w:rsidR="006C590C" w:rsidRDefault="000A6E81" w:rsidP="006C590C">
      <w:r w:rsidRPr="00C235AA">
        <w:rPr>
          <w:i/>
        </w:rPr>
        <w:t>Feeder school</w:t>
      </w:r>
      <w:r>
        <w:t xml:space="preserve"> is </w:t>
      </w:r>
      <w:r w:rsidRPr="00C235AA">
        <w:t xml:space="preserve">a school from which many or most </w:t>
      </w:r>
      <w:proofErr w:type="gramStart"/>
      <w:r w:rsidR="00575005" w:rsidRPr="00C235AA">
        <w:t>student’s</w:t>
      </w:r>
      <w:proofErr w:type="gramEnd"/>
      <w:r w:rsidRPr="00C235AA">
        <w:t xml:space="preserve"> progress to a </w:t>
      </w:r>
      <w:r w:rsidR="001C09C1">
        <w:t>designated</w:t>
      </w:r>
      <w:r w:rsidR="001C09C1" w:rsidRPr="00C235AA">
        <w:t xml:space="preserve"> </w:t>
      </w:r>
      <w:r w:rsidRPr="00C235AA">
        <w:t>school at the next division</w:t>
      </w:r>
      <w:r w:rsidR="00AC6F76">
        <w:t xml:space="preserve"> (e.g., secondary school)</w:t>
      </w:r>
      <w:r w:rsidRPr="00C235AA">
        <w:t>.</w:t>
      </w:r>
    </w:p>
    <w:p w:rsidR="00C235AA" w:rsidRDefault="00C235AA" w:rsidP="00E46E5D"/>
    <w:p w:rsidR="00C235AA" w:rsidRPr="00C235AA" w:rsidRDefault="00C235AA" w:rsidP="00E46E5D">
      <w:r w:rsidRPr="00C235AA">
        <w:rPr>
          <w:i/>
        </w:rPr>
        <w:t>Intensive French Program</w:t>
      </w:r>
      <w:r w:rsidR="00575005">
        <w:t xml:space="preserve"> refers to</w:t>
      </w:r>
      <w:r w:rsidRPr="00C235AA">
        <w:t xml:space="preserve"> French-as-a-Second-Language programs in which French is not only taught as a subject but also serves as the language of instruction in other subjects.</w:t>
      </w:r>
    </w:p>
    <w:p w:rsidR="00C235AA" w:rsidRDefault="00C235AA" w:rsidP="00E46E5D"/>
    <w:p w:rsidR="00C235AA" w:rsidRDefault="00C235AA" w:rsidP="00E46E5D">
      <w:r w:rsidRPr="00C235AA">
        <w:rPr>
          <w:i/>
        </w:rPr>
        <w:t>Intensive Support Program (ISP)</w:t>
      </w:r>
      <w:r>
        <w:t xml:space="preserve"> is a program </w:t>
      </w:r>
      <w:r w:rsidRPr="00C235AA">
        <w:t>designed to support communities of exceptional (special needs) students who have similar behavioural, communication, intellectual, or physical nee</w:t>
      </w:r>
      <w:bookmarkStart w:id="0" w:name="_GoBack"/>
      <w:bookmarkEnd w:id="0"/>
      <w:r w:rsidRPr="00C235AA">
        <w:t>ds.</w:t>
      </w:r>
    </w:p>
    <w:p w:rsidR="007B25AB" w:rsidRDefault="007B25AB" w:rsidP="00E46E5D"/>
    <w:p w:rsidR="007B25AB" w:rsidRDefault="007B25AB" w:rsidP="00E46E5D">
      <w:r w:rsidRPr="005E3348">
        <w:rPr>
          <w:i/>
        </w:rPr>
        <w:t xml:space="preserve">Out-of-Area </w:t>
      </w:r>
      <w:r>
        <w:rPr>
          <w:i/>
        </w:rPr>
        <w:t xml:space="preserve">Applicant </w:t>
      </w:r>
      <w:r>
        <w:t>is a student who applies to a school located outside of their designated attendance area.</w:t>
      </w:r>
    </w:p>
    <w:p w:rsidR="00305E4D" w:rsidRDefault="00305E4D" w:rsidP="006C590C">
      <w:pPr>
        <w:ind w:left="0"/>
      </w:pPr>
    </w:p>
    <w:p w:rsidR="005E3348" w:rsidRDefault="005E3348" w:rsidP="005E3348">
      <w:r w:rsidRPr="005E3348">
        <w:rPr>
          <w:i/>
        </w:rPr>
        <w:t>Out-of-Area Student</w:t>
      </w:r>
      <w:r>
        <w:t xml:space="preserve"> is a student who attends </w:t>
      </w:r>
      <w:r w:rsidR="0087643C">
        <w:t xml:space="preserve">a </w:t>
      </w:r>
      <w:r>
        <w:t>school located outside of their designated attendance area.</w:t>
      </w:r>
    </w:p>
    <w:p w:rsidR="005E3348" w:rsidRDefault="005E3348" w:rsidP="006C590C">
      <w:pPr>
        <w:ind w:left="0"/>
      </w:pPr>
    </w:p>
    <w:p w:rsidR="00680319" w:rsidRPr="00DE4CE0" w:rsidRDefault="00680319" w:rsidP="00575005">
      <w:r w:rsidRPr="00DE4CE0">
        <w:rPr>
          <w:i/>
          <w:iCs/>
        </w:rPr>
        <w:t xml:space="preserve">TDSB </w:t>
      </w:r>
      <w:r w:rsidRPr="00DE4CE0">
        <w:t>is the Toronto District School Board, which is</w:t>
      </w:r>
      <w:r w:rsidR="007B0BF7" w:rsidRPr="00DE4CE0">
        <w:t xml:space="preserve"> also referred to as the “Board</w:t>
      </w:r>
      <w:r w:rsidRPr="00DE4CE0">
        <w:t>”.</w:t>
      </w:r>
    </w:p>
    <w:p w:rsidR="00680319" w:rsidRPr="00DE4CE0" w:rsidRDefault="007B0BF7" w:rsidP="00E46E5D">
      <w:pPr>
        <w:pStyle w:val="Heading1"/>
      </w:pPr>
      <w:r w:rsidRPr="00DE4CE0">
        <w:t>RESPONSIBILITY</w:t>
      </w:r>
    </w:p>
    <w:p w:rsidR="00680319" w:rsidRPr="00DE4CE0" w:rsidRDefault="009F6EFA" w:rsidP="00E46E5D">
      <w:r>
        <w:t xml:space="preserve">The Director of Education holds the primary responsibility for overseeing the implementation of the Policy. Within the Director’s Office, the responsibility for the day-to-day management and coordination of the Policy is assigned to the </w:t>
      </w:r>
      <w:r w:rsidR="00573D23">
        <w:t>Associate Director, School Operations and Service Excellence</w:t>
      </w:r>
      <w:r>
        <w:t>.</w:t>
      </w:r>
    </w:p>
    <w:p w:rsidR="00680319" w:rsidRPr="00DE4CE0" w:rsidRDefault="00680319" w:rsidP="00E46E5D">
      <w:pPr>
        <w:pStyle w:val="Heading1"/>
      </w:pPr>
      <w:r w:rsidRPr="00DE4CE0">
        <w:t>APPLICATION AND SCOPE</w:t>
      </w:r>
    </w:p>
    <w:p w:rsidR="00682F88" w:rsidRDefault="00682F88" w:rsidP="009F6EFA">
      <w:r>
        <w:t>This Policy applies to students, parents</w:t>
      </w:r>
      <w:r w:rsidR="009F6EFA">
        <w:t xml:space="preserve">/guardians, </w:t>
      </w:r>
      <w:r w:rsidR="009F5840">
        <w:t xml:space="preserve">and staff, including </w:t>
      </w:r>
      <w:r>
        <w:t>principals, superintendents</w:t>
      </w:r>
      <w:r w:rsidR="009F6EFA">
        <w:t xml:space="preserve"> and </w:t>
      </w:r>
      <w:r w:rsidR="009F5840">
        <w:t xml:space="preserve">school personnel </w:t>
      </w:r>
      <w:r>
        <w:t>involved in the application and registration processes for students seeking a space in a school that lies outside of their designated attendance area.</w:t>
      </w:r>
    </w:p>
    <w:p w:rsidR="009F6EFA" w:rsidRDefault="009F6EFA" w:rsidP="009F6EFA"/>
    <w:p w:rsidR="009F6EFA" w:rsidRPr="0077129F" w:rsidRDefault="009F6EFA" w:rsidP="0077129F">
      <w:r>
        <w:t>This Po</w:t>
      </w:r>
      <w:r w:rsidR="0077129F">
        <w:t>licy does not apply to placements</w:t>
      </w:r>
      <w:r>
        <w:t xml:space="preserve"> into Special Education Intensive Support Programs (ISPs)</w:t>
      </w:r>
      <w:r w:rsidR="0077129F">
        <w:t>. Students may access these programs</w:t>
      </w:r>
      <w:r>
        <w:t xml:space="preserve"> through the Identification, Placement and </w:t>
      </w:r>
      <w:r w:rsidR="0077129F">
        <w:t xml:space="preserve">Review Committee (IPRC) process. In addition, this Policy does not apply to </w:t>
      </w:r>
      <w:r>
        <w:t xml:space="preserve">students whose placements are facilitated by the Caring and Safe Schools </w:t>
      </w:r>
      <w:r w:rsidRPr="0077129F">
        <w:t>department.</w:t>
      </w:r>
    </w:p>
    <w:p w:rsidR="00680319" w:rsidRPr="00DE4CE0" w:rsidRDefault="00680319" w:rsidP="009F6EFA">
      <w:pPr>
        <w:pStyle w:val="Heading1"/>
      </w:pPr>
      <w:r w:rsidRPr="00DE4CE0">
        <w:lastRenderedPageBreak/>
        <w:t>POLICY</w:t>
      </w:r>
    </w:p>
    <w:p w:rsidR="006C590C" w:rsidRDefault="002324D9" w:rsidP="006C590C">
      <w:pPr>
        <w:pStyle w:val="Heading2"/>
      </w:pPr>
      <w:r>
        <w:t xml:space="preserve">Regular Schools </w:t>
      </w:r>
    </w:p>
    <w:p w:rsidR="006C590C" w:rsidRPr="006C590C" w:rsidRDefault="006C590C" w:rsidP="006C590C">
      <w:pPr>
        <w:pStyle w:val="Heading3"/>
        <w:keepNext w:val="0"/>
        <w:keepLines w:val="0"/>
        <w:numPr>
          <w:ilvl w:val="2"/>
          <w:numId w:val="20"/>
        </w:numPr>
        <w:ind w:hanging="900"/>
      </w:pPr>
      <w:r w:rsidRPr="006C590C">
        <w:t xml:space="preserve">Each student who is eligible to attend school will have the right to attend a designated school in accordance with this </w:t>
      </w:r>
      <w:r w:rsidR="00DF5E53">
        <w:t>P</w:t>
      </w:r>
      <w:r w:rsidRPr="006C590C">
        <w:t xml:space="preserve">olicy, based on the residential address of the student’s parents (or either parent) or of the student’s legal guardian. In the case of an adult student, the address where the student resides will determine the appropriate designated school. </w:t>
      </w:r>
    </w:p>
    <w:p w:rsidR="008F1F71" w:rsidRPr="006C590C" w:rsidRDefault="006C590C" w:rsidP="006C590C">
      <w:pPr>
        <w:pStyle w:val="Heading3"/>
        <w:keepNext w:val="0"/>
        <w:keepLines w:val="0"/>
        <w:numPr>
          <w:ilvl w:val="2"/>
          <w:numId w:val="20"/>
        </w:numPr>
        <w:ind w:hanging="900"/>
      </w:pPr>
      <w:r>
        <w:t>On an annual basis, Board staff will determine which schools may accept applications from students</w:t>
      </w:r>
      <w:r w:rsidR="00DF5E53">
        <w:t xml:space="preserve"> outside the designated attendance area</w:t>
      </w:r>
      <w:r>
        <w:t xml:space="preserve"> based on school capacity and projected enrolment by grade. The process to apply for attendance at a school other than the student’s designated school will be shared annually with students, parents and guardians.</w:t>
      </w:r>
    </w:p>
    <w:p w:rsidR="00620CD9" w:rsidRDefault="0073225F" w:rsidP="006C590C">
      <w:pPr>
        <w:pStyle w:val="Heading3"/>
        <w:keepNext w:val="0"/>
        <w:keepLines w:val="0"/>
        <w:numPr>
          <w:ilvl w:val="2"/>
          <w:numId w:val="20"/>
        </w:numPr>
        <w:ind w:hanging="900"/>
      </w:pPr>
      <w:r>
        <w:t xml:space="preserve">When space is available in schools, students will be provided with opportunities to access schools </w:t>
      </w:r>
      <w:r w:rsidR="0070020E">
        <w:t xml:space="preserve">outside their designated area </w:t>
      </w:r>
      <w:r>
        <w:t xml:space="preserve">by applying as an Out-of-Area </w:t>
      </w:r>
      <w:r w:rsidR="007B25AB">
        <w:t>applicant</w:t>
      </w:r>
      <w:r>
        <w:t>.</w:t>
      </w:r>
    </w:p>
    <w:p w:rsidR="00684B10" w:rsidRDefault="00306BEE" w:rsidP="006C590C">
      <w:pPr>
        <w:pStyle w:val="Heading3"/>
        <w:keepNext w:val="0"/>
        <w:keepLines w:val="0"/>
        <w:numPr>
          <w:ilvl w:val="2"/>
          <w:numId w:val="20"/>
        </w:numPr>
        <w:ind w:hanging="900"/>
      </w:pPr>
      <w:r>
        <w:t xml:space="preserve">A parent or guardian (or adult student) may apply to </w:t>
      </w:r>
      <w:r w:rsidR="0077129F">
        <w:t>one (1) regular school</w:t>
      </w:r>
      <w:r>
        <w:t xml:space="preserve"> outside of the student’s designated school attendance area.</w:t>
      </w:r>
      <w:r w:rsidR="0077129F">
        <w:t xml:space="preserve"> </w:t>
      </w:r>
    </w:p>
    <w:p w:rsidR="00854C47" w:rsidRPr="00575005" w:rsidRDefault="00854C47" w:rsidP="006C590C">
      <w:pPr>
        <w:pStyle w:val="Heading3"/>
        <w:keepNext w:val="0"/>
        <w:keepLines w:val="0"/>
        <w:numPr>
          <w:ilvl w:val="2"/>
          <w:numId w:val="20"/>
        </w:numPr>
        <w:ind w:hanging="900"/>
      </w:pPr>
      <w:r w:rsidRPr="00575005">
        <w:t xml:space="preserve">Students enrolled in school-based licensed child care centres </w:t>
      </w:r>
      <w:r w:rsidR="005E3348" w:rsidRPr="00575005">
        <w:t xml:space="preserve">will </w:t>
      </w:r>
      <w:r w:rsidRPr="00575005">
        <w:t>have the option of attending the school in which the child care is located where there is no access to, or available space</w:t>
      </w:r>
      <w:r w:rsidR="0087643C" w:rsidRPr="00575005">
        <w:t>,</w:t>
      </w:r>
      <w:r w:rsidRPr="00575005">
        <w:t xml:space="preserve"> in licensed child cares feeding into their </w:t>
      </w:r>
      <w:r w:rsidR="0077129F" w:rsidRPr="00575005">
        <w:t xml:space="preserve">designated </w:t>
      </w:r>
      <w:r w:rsidRPr="00575005">
        <w:t>school.</w:t>
      </w:r>
      <w:r w:rsidR="00FC2846" w:rsidRPr="00575005">
        <w:t xml:space="preserve"> </w:t>
      </w:r>
    </w:p>
    <w:p w:rsidR="00CB4C0D" w:rsidRPr="00575005" w:rsidRDefault="00684B10" w:rsidP="00FC2846">
      <w:pPr>
        <w:pStyle w:val="Heading3"/>
        <w:keepNext w:val="0"/>
        <w:keepLines w:val="0"/>
        <w:numPr>
          <w:ilvl w:val="2"/>
          <w:numId w:val="20"/>
        </w:numPr>
        <w:ind w:hanging="900"/>
      </w:pPr>
      <w:r w:rsidRPr="00575005">
        <w:rPr>
          <w:lang w:val="en-US"/>
        </w:rPr>
        <w:t>Children at the preschool age who are enrolled in the school-based licensed child care prior to January 1</w:t>
      </w:r>
      <w:r w:rsidRPr="00575005">
        <w:rPr>
          <w:vertAlign w:val="superscript"/>
          <w:lang w:val="en-US"/>
        </w:rPr>
        <w:t>st</w:t>
      </w:r>
      <w:r w:rsidRPr="00575005">
        <w:rPr>
          <w:lang w:val="en-US"/>
        </w:rPr>
        <w:t> of the year they are to begin Junior Kindergarten, have the option of attending the school in which the child care is located, when there is no access to, or available sp</w:t>
      </w:r>
      <w:r w:rsidR="0077129F" w:rsidRPr="00575005">
        <w:rPr>
          <w:lang w:val="en-US"/>
        </w:rPr>
        <w:t>ace in the child care at their designated</w:t>
      </w:r>
      <w:r w:rsidRPr="00575005">
        <w:rPr>
          <w:lang w:val="en-US"/>
        </w:rPr>
        <w:t xml:space="preserve"> school.</w:t>
      </w:r>
      <w:r w:rsidR="00925B0D" w:rsidRPr="00575005">
        <w:rPr>
          <w:lang w:val="en-US"/>
        </w:rPr>
        <w:t xml:space="preserve"> No application process is required. Children who are enrolled in the school-based licensed child care </w:t>
      </w:r>
      <w:r w:rsidR="00925B0D" w:rsidRPr="00575005">
        <w:rPr>
          <w:u w:val="single"/>
          <w:lang w:val="en-US"/>
        </w:rPr>
        <w:t>after</w:t>
      </w:r>
      <w:r w:rsidR="00925B0D" w:rsidRPr="00575005">
        <w:rPr>
          <w:lang w:val="en-US"/>
        </w:rPr>
        <w:t xml:space="preserve"> January 1</w:t>
      </w:r>
      <w:r w:rsidR="00925B0D" w:rsidRPr="00575005">
        <w:rPr>
          <w:vertAlign w:val="superscript"/>
          <w:lang w:val="en-US"/>
        </w:rPr>
        <w:t>st</w:t>
      </w:r>
      <w:r w:rsidR="00925B0D" w:rsidRPr="00575005">
        <w:rPr>
          <w:lang w:val="en-US"/>
        </w:rPr>
        <w:t xml:space="preserve"> of the year they are to begin Junior Kindergarten must apply as Out-of-Area students.</w:t>
      </w:r>
      <w:r w:rsidR="00FC2846" w:rsidRPr="00575005">
        <w:rPr>
          <w:lang w:val="en-US"/>
        </w:rPr>
        <w:t xml:space="preserve"> </w:t>
      </w:r>
    </w:p>
    <w:p w:rsidR="00CB4C0D" w:rsidRDefault="00306BEE" w:rsidP="006C590C">
      <w:pPr>
        <w:pStyle w:val="Heading3"/>
        <w:keepNext w:val="0"/>
        <w:keepLines w:val="0"/>
        <w:numPr>
          <w:ilvl w:val="2"/>
          <w:numId w:val="20"/>
        </w:numPr>
        <w:ind w:hanging="900"/>
      </w:pPr>
      <w:r>
        <w:t xml:space="preserve">If sufficient space is available at the requested school, spaces will be filled </w:t>
      </w:r>
      <w:r w:rsidR="009029A6">
        <w:t xml:space="preserve">by grade </w:t>
      </w:r>
      <w:r>
        <w:t>according to the admission priorities</w:t>
      </w:r>
      <w:r w:rsidR="00806D95">
        <w:t xml:space="preserve"> below. For each of the admission priorities </w:t>
      </w:r>
      <w:r w:rsidR="009029A6">
        <w:t>(</w:t>
      </w:r>
      <w:r w:rsidR="00806D95">
        <w:t>in priority order</w:t>
      </w:r>
      <w:r w:rsidR="009029A6">
        <w:t>)</w:t>
      </w:r>
      <w:r w:rsidR="00806D95">
        <w:t xml:space="preserve">, the school </w:t>
      </w:r>
      <w:r w:rsidR="0070020E">
        <w:t xml:space="preserve">principal </w:t>
      </w:r>
      <w:r w:rsidR="0077129F">
        <w:t>will</w:t>
      </w:r>
      <w:r w:rsidR="00806D95">
        <w:t xml:space="preserve"> conduct a lottery if the number of applications exceeds available spaces</w:t>
      </w:r>
      <w:r>
        <w:t>:</w:t>
      </w:r>
    </w:p>
    <w:p w:rsidR="00306BEE" w:rsidRDefault="00306BEE" w:rsidP="006C590C">
      <w:pPr>
        <w:ind w:left="2160"/>
      </w:pPr>
      <w:r w:rsidRPr="006C590C">
        <w:rPr>
          <w:u w:val="single"/>
        </w:rPr>
        <w:t>Priority 1</w:t>
      </w:r>
      <w:r>
        <w:t xml:space="preserve">: Students who are attending </w:t>
      </w:r>
      <w:r w:rsidR="0053259D">
        <w:t xml:space="preserve">another school </w:t>
      </w:r>
      <w:r>
        <w:t xml:space="preserve">as </w:t>
      </w:r>
      <w:r w:rsidR="0053259D">
        <w:t>an Out-of-Area student</w:t>
      </w:r>
      <w:r>
        <w:t xml:space="preserve"> at and who wish to return to their designated school by address.</w:t>
      </w:r>
    </w:p>
    <w:p w:rsidR="00306BEE" w:rsidRDefault="00306BEE" w:rsidP="006C590C">
      <w:pPr>
        <w:ind w:left="2160"/>
      </w:pPr>
    </w:p>
    <w:p w:rsidR="00306BEE" w:rsidRDefault="00306BEE" w:rsidP="006C590C">
      <w:pPr>
        <w:ind w:left="2160"/>
      </w:pPr>
      <w:r w:rsidRPr="006C590C">
        <w:rPr>
          <w:u w:val="single"/>
        </w:rPr>
        <w:lastRenderedPageBreak/>
        <w:t>Priority 2</w:t>
      </w:r>
      <w:r>
        <w:t xml:space="preserve">: </w:t>
      </w:r>
      <w:r w:rsidR="00FC2846">
        <w:t>Secondary students whose child/children is/are enrolled in a child care centre in the designated attendance area of the secondary school.</w:t>
      </w:r>
    </w:p>
    <w:p w:rsidR="00306BEE" w:rsidRDefault="00306BEE" w:rsidP="006C590C">
      <w:pPr>
        <w:ind w:left="2160"/>
      </w:pPr>
    </w:p>
    <w:p w:rsidR="00306BEE" w:rsidRDefault="00306BEE" w:rsidP="006C590C">
      <w:pPr>
        <w:ind w:left="2160"/>
      </w:pPr>
      <w:r w:rsidRPr="006C590C">
        <w:rPr>
          <w:u w:val="single"/>
        </w:rPr>
        <w:t>Priority 3</w:t>
      </w:r>
      <w:r>
        <w:t xml:space="preserve">: </w:t>
      </w:r>
      <w:r w:rsidR="00FC2846">
        <w:t>Students who have siblings currently attending the requested school and the siblings are expected to be at the requested school for the next school year.</w:t>
      </w:r>
    </w:p>
    <w:p w:rsidR="00306BEE" w:rsidRDefault="00306BEE" w:rsidP="006C590C">
      <w:pPr>
        <w:ind w:left="2160"/>
      </w:pPr>
    </w:p>
    <w:p w:rsidR="00605A96" w:rsidRDefault="00306BEE" w:rsidP="006C590C">
      <w:pPr>
        <w:ind w:left="2160"/>
      </w:pPr>
      <w:r w:rsidRPr="006C590C">
        <w:rPr>
          <w:u w:val="single"/>
        </w:rPr>
        <w:t>Priority 4</w:t>
      </w:r>
      <w:r>
        <w:t>:</w:t>
      </w:r>
      <w:r w:rsidR="00605A96">
        <w:t xml:space="preserve"> </w:t>
      </w:r>
      <w:r w:rsidR="009029A6">
        <w:t>Students currently attending a</w:t>
      </w:r>
      <w:r w:rsidR="00605A96">
        <w:t xml:space="preserve"> feeder school of the requested school.</w:t>
      </w:r>
    </w:p>
    <w:p w:rsidR="00605A96" w:rsidRDefault="00605A96" w:rsidP="006C590C">
      <w:pPr>
        <w:ind w:left="2160"/>
      </w:pPr>
    </w:p>
    <w:p w:rsidR="00605A96" w:rsidRDefault="00605A96" w:rsidP="006C590C">
      <w:pPr>
        <w:ind w:left="2160"/>
      </w:pPr>
      <w:r w:rsidRPr="006C590C">
        <w:rPr>
          <w:u w:val="single"/>
        </w:rPr>
        <w:t>Priority 5</w:t>
      </w:r>
      <w:r>
        <w:t xml:space="preserve">: </w:t>
      </w:r>
      <w:r w:rsidR="00684B10">
        <w:t>Children</w:t>
      </w:r>
      <w:r>
        <w:t xml:space="preserve"> enrolled </w:t>
      </w:r>
      <w:r w:rsidR="00333BA8">
        <w:t xml:space="preserve">after January 1 </w:t>
      </w:r>
      <w:r>
        <w:t>in the school-based child care pre-school program of the requested school</w:t>
      </w:r>
      <w:r w:rsidR="00925B0D">
        <w:t xml:space="preserve"> (</w:t>
      </w:r>
      <w:r w:rsidR="00333BA8">
        <w:t>s</w:t>
      </w:r>
      <w:r w:rsidR="00925B0D">
        <w:t>ee 6.1.</w:t>
      </w:r>
      <w:r w:rsidR="003E5AC0">
        <w:t>6</w:t>
      </w:r>
      <w:r w:rsidR="00925B0D">
        <w:t>)</w:t>
      </w:r>
      <w:r>
        <w:t xml:space="preserve">. </w:t>
      </w:r>
    </w:p>
    <w:p w:rsidR="00605A96" w:rsidRDefault="00605A96" w:rsidP="006C590C">
      <w:pPr>
        <w:ind w:left="2160"/>
      </w:pPr>
    </w:p>
    <w:p w:rsidR="00306BEE" w:rsidRDefault="00605A96" w:rsidP="006C590C">
      <w:pPr>
        <w:ind w:left="2160"/>
      </w:pPr>
      <w:r w:rsidRPr="006C590C">
        <w:rPr>
          <w:u w:val="single"/>
        </w:rPr>
        <w:t>Priority 6</w:t>
      </w:r>
      <w:r>
        <w:t>:</w:t>
      </w:r>
      <w:r w:rsidR="00306BEE">
        <w:t xml:space="preserve"> </w:t>
      </w:r>
      <w:r w:rsidR="009029A6">
        <w:t xml:space="preserve">Children </w:t>
      </w:r>
      <w:r w:rsidR="00075630">
        <w:t>attending child care</w:t>
      </w:r>
      <w:r w:rsidR="00333BA8">
        <w:t xml:space="preserve"> programs</w:t>
      </w:r>
      <w:r w:rsidR="00075630">
        <w:t xml:space="preserve"> in the designated attendance area of the requested school.</w:t>
      </w:r>
    </w:p>
    <w:p w:rsidR="009029A6" w:rsidRDefault="009029A6" w:rsidP="006C590C">
      <w:pPr>
        <w:ind w:left="2160"/>
      </w:pPr>
    </w:p>
    <w:p w:rsidR="00075630" w:rsidRDefault="006B68D8" w:rsidP="006C590C">
      <w:pPr>
        <w:ind w:left="2160"/>
      </w:pPr>
      <w:r w:rsidRPr="006C590C">
        <w:rPr>
          <w:u w:val="single"/>
        </w:rPr>
        <w:t xml:space="preserve">Priority </w:t>
      </w:r>
      <w:r w:rsidR="009029A6" w:rsidRPr="006C590C">
        <w:rPr>
          <w:u w:val="single"/>
        </w:rPr>
        <w:t>7</w:t>
      </w:r>
      <w:r>
        <w:t xml:space="preserve">: </w:t>
      </w:r>
      <w:r w:rsidR="009029A6">
        <w:t xml:space="preserve">Current </w:t>
      </w:r>
      <w:r>
        <w:t>TDSB students</w:t>
      </w:r>
    </w:p>
    <w:p w:rsidR="009029A6" w:rsidRDefault="009029A6" w:rsidP="006C590C">
      <w:pPr>
        <w:ind w:left="2160"/>
      </w:pPr>
    </w:p>
    <w:p w:rsidR="00075630" w:rsidRDefault="00075630" w:rsidP="006C590C">
      <w:pPr>
        <w:ind w:left="2160"/>
      </w:pPr>
      <w:r w:rsidRPr="006C590C">
        <w:rPr>
          <w:u w:val="single"/>
        </w:rPr>
        <w:t xml:space="preserve">Priority </w:t>
      </w:r>
      <w:r w:rsidR="009029A6" w:rsidRPr="006C590C">
        <w:rPr>
          <w:u w:val="single"/>
        </w:rPr>
        <w:t>8</w:t>
      </w:r>
      <w:r w:rsidR="009029A6">
        <w:t>: Other s</w:t>
      </w:r>
      <w:r>
        <w:t xml:space="preserve">tudents residing in the City of Toronto. </w:t>
      </w:r>
    </w:p>
    <w:p w:rsidR="00075630" w:rsidRDefault="00075630" w:rsidP="006C590C">
      <w:pPr>
        <w:ind w:left="2160"/>
      </w:pPr>
    </w:p>
    <w:p w:rsidR="00306BEE" w:rsidRDefault="00075630" w:rsidP="006C590C">
      <w:pPr>
        <w:ind w:left="2160"/>
      </w:pPr>
      <w:r w:rsidRPr="006C590C">
        <w:rPr>
          <w:u w:val="single"/>
        </w:rPr>
        <w:t xml:space="preserve">Priority </w:t>
      </w:r>
      <w:r w:rsidR="009029A6" w:rsidRPr="006C590C">
        <w:rPr>
          <w:u w:val="single"/>
        </w:rPr>
        <w:t>9</w:t>
      </w:r>
      <w:r>
        <w:t>: Students residing outside the City of Toronto.</w:t>
      </w:r>
    </w:p>
    <w:p w:rsidR="00075630" w:rsidRDefault="00075630" w:rsidP="00075630">
      <w:pPr>
        <w:pStyle w:val="ListParagraph"/>
        <w:ind w:left="1080"/>
      </w:pPr>
    </w:p>
    <w:p w:rsidR="00CB4C0D" w:rsidRDefault="006C590C" w:rsidP="006C590C">
      <w:pPr>
        <w:pStyle w:val="Heading3"/>
        <w:keepNext w:val="0"/>
        <w:keepLines w:val="0"/>
        <w:numPr>
          <w:ilvl w:val="2"/>
          <w:numId w:val="20"/>
        </w:numPr>
        <w:ind w:hanging="900"/>
      </w:pPr>
      <w:r>
        <w:t>T</w:t>
      </w:r>
      <w:r w:rsidR="009029A6">
        <w:t>he TDSB will</w:t>
      </w:r>
      <w:r w:rsidR="00CB4C0D">
        <w:t xml:space="preserve"> not be responsible for providing transportation for Out-of-Area students. Transportation is the responsibility of the applicant.</w:t>
      </w:r>
    </w:p>
    <w:p w:rsidR="001F3CEF" w:rsidRDefault="00CB4C0D" w:rsidP="006C590C">
      <w:pPr>
        <w:pStyle w:val="Heading3"/>
        <w:keepNext w:val="0"/>
        <w:keepLines w:val="0"/>
        <w:numPr>
          <w:ilvl w:val="2"/>
          <w:numId w:val="20"/>
        </w:numPr>
        <w:ind w:hanging="900"/>
      </w:pPr>
      <w:r>
        <w:t>Out-of-Area student</w:t>
      </w:r>
      <w:r w:rsidR="001F3CEF">
        <w:t>s</w:t>
      </w:r>
      <w:r>
        <w:t xml:space="preserve"> </w:t>
      </w:r>
      <w:r w:rsidR="001F3CEF">
        <w:t xml:space="preserve">who wish to return to their designated school by address must apply to the designated school by the date specified in the </w:t>
      </w:r>
      <w:r w:rsidR="006D6595">
        <w:t xml:space="preserve">Operational </w:t>
      </w:r>
      <w:r w:rsidR="001F3CEF">
        <w:t>Procedure</w:t>
      </w:r>
      <w:r w:rsidR="009029A6">
        <w:t xml:space="preserve"> (PR545)</w:t>
      </w:r>
      <w:r w:rsidR="001F3CEF">
        <w:t>. Admission will be deter</w:t>
      </w:r>
      <w:r w:rsidR="009029A6">
        <w:t xml:space="preserve">mined based on available space by grade. </w:t>
      </w:r>
    </w:p>
    <w:p w:rsidR="00854C47" w:rsidRDefault="00854C47" w:rsidP="006C590C">
      <w:pPr>
        <w:pStyle w:val="Heading3"/>
        <w:keepNext w:val="0"/>
        <w:keepLines w:val="0"/>
        <w:numPr>
          <w:ilvl w:val="2"/>
          <w:numId w:val="20"/>
        </w:numPr>
        <w:ind w:hanging="900"/>
      </w:pPr>
      <w:r w:rsidRPr="00854C47">
        <w:t>Students withdrawn from the child care centre may be re</w:t>
      </w:r>
      <w:r>
        <w:t xml:space="preserve">quired to return to their </w:t>
      </w:r>
      <w:r w:rsidR="009029A6">
        <w:t xml:space="preserve">designated </w:t>
      </w:r>
      <w:r w:rsidRPr="00854C47">
        <w:t>school, as determined by home address, or apply to remain at the current school via the</w:t>
      </w:r>
      <w:r>
        <w:t xml:space="preserve"> Out-of-Area process, unless the next school year is a graduation year.</w:t>
      </w:r>
    </w:p>
    <w:p w:rsidR="00776D7A" w:rsidRDefault="006934C4" w:rsidP="006C590C">
      <w:pPr>
        <w:pStyle w:val="Heading3"/>
        <w:keepNext w:val="0"/>
        <w:keepLines w:val="0"/>
        <w:numPr>
          <w:ilvl w:val="2"/>
          <w:numId w:val="20"/>
        </w:numPr>
        <w:ind w:hanging="900"/>
      </w:pPr>
      <w:r>
        <w:t>Students who change re</w:t>
      </w:r>
      <w:r w:rsidR="009029A6">
        <w:t>sidence during the school year will</w:t>
      </w:r>
      <w:r>
        <w:t xml:space="preserve"> be allowed to remain at the current school until </w:t>
      </w:r>
      <w:r w:rsidR="00776D7A">
        <w:t>the end of the current school year, unless the next school year is a graduation year.</w:t>
      </w:r>
    </w:p>
    <w:p w:rsidR="002324D9" w:rsidRPr="006C590C" w:rsidRDefault="00776D7A" w:rsidP="006C590C">
      <w:pPr>
        <w:pStyle w:val="Heading3"/>
        <w:keepNext w:val="0"/>
        <w:keepLines w:val="0"/>
        <w:numPr>
          <w:ilvl w:val="2"/>
          <w:numId w:val="20"/>
        </w:numPr>
        <w:ind w:hanging="900"/>
      </w:pPr>
      <w:r>
        <w:t xml:space="preserve">During their final year at </w:t>
      </w:r>
      <w:r w:rsidR="009029A6">
        <w:t>a school, Out-of-Area students will</w:t>
      </w:r>
      <w:r>
        <w:t xml:space="preserve"> be required to apply for ad</w:t>
      </w:r>
      <w:r w:rsidRPr="009029A6">
        <w:t>m</w:t>
      </w:r>
      <w:r>
        <w:t xml:space="preserve">ission to the school at the next level into which the school feeds. </w:t>
      </w:r>
    </w:p>
    <w:p w:rsidR="009D75EE" w:rsidRDefault="0087643C" w:rsidP="009D75EE">
      <w:pPr>
        <w:pStyle w:val="Heading2"/>
      </w:pPr>
      <w:r>
        <w:t xml:space="preserve">Schools with </w:t>
      </w:r>
      <w:r w:rsidR="007B78D1">
        <w:t xml:space="preserve">Intensive </w:t>
      </w:r>
      <w:r w:rsidR="004D18F8">
        <w:t>French Programs</w:t>
      </w:r>
    </w:p>
    <w:p w:rsidR="009D75EE" w:rsidRDefault="004D18F8" w:rsidP="006C590C">
      <w:pPr>
        <w:pStyle w:val="Heading3"/>
        <w:keepNext w:val="0"/>
        <w:keepLines w:val="0"/>
        <w:numPr>
          <w:ilvl w:val="2"/>
          <w:numId w:val="20"/>
        </w:numPr>
        <w:ind w:hanging="900"/>
      </w:pPr>
      <w:r>
        <w:t xml:space="preserve">All students who are resident within the City of Toronto and are eligible to attend a school operated by the Board </w:t>
      </w:r>
      <w:r w:rsidR="00CC44F0">
        <w:t xml:space="preserve">will </w:t>
      </w:r>
      <w:r>
        <w:t xml:space="preserve">have the right </w:t>
      </w:r>
      <w:r>
        <w:lastRenderedPageBreak/>
        <w:t>to attend a</w:t>
      </w:r>
      <w:r w:rsidR="007B78D1">
        <w:t>n Intensive</w:t>
      </w:r>
      <w:r>
        <w:t xml:space="preserve"> French program. </w:t>
      </w:r>
      <w:r w:rsidR="008F1F71">
        <w:t xml:space="preserve">See the </w:t>
      </w:r>
      <w:r w:rsidR="007B78D1">
        <w:t>Intensive French</w:t>
      </w:r>
      <w:r w:rsidR="008F1F71">
        <w:t xml:space="preserve"> (IEF)</w:t>
      </w:r>
      <w:r w:rsidR="007B78D1">
        <w:t xml:space="preserve"> Programs </w:t>
      </w:r>
      <w:r>
        <w:t>Operational Procedure</w:t>
      </w:r>
      <w:r w:rsidR="008F1F71">
        <w:t xml:space="preserve"> (PR597) for access to IEF.</w:t>
      </w:r>
    </w:p>
    <w:p w:rsidR="004D18F8" w:rsidRDefault="004D18F8" w:rsidP="006C590C">
      <w:pPr>
        <w:pStyle w:val="Heading3"/>
        <w:keepNext w:val="0"/>
        <w:keepLines w:val="0"/>
        <w:numPr>
          <w:ilvl w:val="2"/>
          <w:numId w:val="20"/>
        </w:numPr>
        <w:ind w:hanging="900"/>
      </w:pPr>
      <w:r>
        <w:t>If a student elects to attend a</w:t>
      </w:r>
      <w:r w:rsidR="007B78D1">
        <w:t xml:space="preserve">n Intensive </w:t>
      </w:r>
      <w:r>
        <w:t xml:space="preserve">French program outside the </w:t>
      </w:r>
      <w:r w:rsidR="00CF07E3">
        <w:t xml:space="preserve">designated </w:t>
      </w:r>
      <w:r>
        <w:t xml:space="preserve">school/pathway, the student </w:t>
      </w:r>
      <w:r w:rsidR="0087643C">
        <w:t xml:space="preserve">must </w:t>
      </w:r>
      <w:r>
        <w:t xml:space="preserve">apply as an Out-of-Area student to the requested school. The direction set out in Section 6.1 of this </w:t>
      </w:r>
      <w:r w:rsidR="006D6595">
        <w:t>P</w:t>
      </w:r>
      <w:r>
        <w:t>olicy for Regular Schools will apply.</w:t>
      </w:r>
      <w:r w:rsidR="009665EF">
        <w:t xml:space="preserve"> No transportation will be provided.</w:t>
      </w:r>
    </w:p>
    <w:p w:rsidR="007B78D1" w:rsidRDefault="009665EF" w:rsidP="006C590C">
      <w:pPr>
        <w:pStyle w:val="Heading3"/>
        <w:keepNext w:val="0"/>
        <w:keepLines w:val="0"/>
        <w:numPr>
          <w:ilvl w:val="2"/>
          <w:numId w:val="20"/>
        </w:numPr>
        <w:ind w:hanging="900"/>
      </w:pPr>
      <w:r>
        <w:t>Once admitted to a</w:t>
      </w:r>
      <w:r w:rsidR="007B78D1">
        <w:t>n Intensive French P</w:t>
      </w:r>
      <w:r>
        <w:t xml:space="preserve">rogram at a school as an Out-of-Area student, the student will have the right to continue the </w:t>
      </w:r>
      <w:r w:rsidR="007B78D1">
        <w:t xml:space="preserve">Intensive French Program </w:t>
      </w:r>
      <w:r>
        <w:t>in the schools of that designated</w:t>
      </w:r>
      <w:r w:rsidR="007B78D1">
        <w:t xml:space="preserve"> pathway</w:t>
      </w:r>
      <w:r>
        <w:t xml:space="preserve">. </w:t>
      </w:r>
    </w:p>
    <w:p w:rsidR="006C590C" w:rsidRDefault="006C590C" w:rsidP="006C590C">
      <w:pPr>
        <w:pStyle w:val="ListParagraph"/>
        <w:numPr>
          <w:ilvl w:val="0"/>
          <w:numId w:val="37"/>
        </w:numPr>
      </w:pPr>
      <w:r>
        <w:t>If the Out-of-Area student wishes to pursue an Intensive French Program in a different school pathway, the direction set out in Section 6.1 of this Policy for Regular Schools applies.</w:t>
      </w:r>
    </w:p>
    <w:p w:rsidR="006C590C" w:rsidRDefault="006C590C" w:rsidP="006C590C">
      <w:pPr>
        <w:pStyle w:val="ListParagraph"/>
        <w:ind w:left="2520"/>
      </w:pPr>
    </w:p>
    <w:p w:rsidR="004D18F8" w:rsidRDefault="006C590C" w:rsidP="00CD0EA7">
      <w:pPr>
        <w:pStyle w:val="ListParagraph"/>
        <w:numPr>
          <w:ilvl w:val="0"/>
          <w:numId w:val="37"/>
        </w:numPr>
      </w:pPr>
      <w:r>
        <w:t xml:space="preserve">Section </w:t>
      </w:r>
      <w:r w:rsidR="00CC44F0">
        <w:t>6.2.3</w:t>
      </w:r>
      <w:proofErr w:type="gramStart"/>
      <w:r w:rsidR="00CC44F0">
        <w:t>.</w:t>
      </w:r>
      <w:r>
        <w:t>(</w:t>
      </w:r>
      <w:proofErr w:type="gramEnd"/>
      <w:r>
        <w:t xml:space="preserve">a) does not apply if the student changes residence. In this case, the student has the right to attend the Intensive French Program </w:t>
      </w:r>
      <w:proofErr w:type="gramStart"/>
      <w:r>
        <w:t>school</w:t>
      </w:r>
      <w:proofErr w:type="gramEnd"/>
      <w:r>
        <w:t xml:space="preserve"> according to their new principal address.</w:t>
      </w:r>
    </w:p>
    <w:p w:rsidR="008C40CD" w:rsidRDefault="008F1F71" w:rsidP="006C590C">
      <w:pPr>
        <w:pStyle w:val="Heading3"/>
        <w:keepNext w:val="0"/>
        <w:keepLines w:val="0"/>
        <w:numPr>
          <w:ilvl w:val="2"/>
          <w:numId w:val="20"/>
        </w:numPr>
        <w:ind w:hanging="900"/>
      </w:pPr>
      <w:r>
        <w:t>S</w:t>
      </w:r>
      <w:r w:rsidR="007B78D1">
        <w:t>tudent</w:t>
      </w:r>
      <w:r>
        <w:t xml:space="preserve">s who choose </w:t>
      </w:r>
      <w:r w:rsidR="007B78D1">
        <w:t xml:space="preserve">to leave an Intensive </w:t>
      </w:r>
      <w:r w:rsidR="009665EF">
        <w:t xml:space="preserve">French </w:t>
      </w:r>
      <w:r w:rsidR="007B78D1">
        <w:t>P</w:t>
      </w:r>
      <w:r w:rsidR="009665EF">
        <w:t xml:space="preserve">rogram </w:t>
      </w:r>
      <w:r>
        <w:t xml:space="preserve">that they are </w:t>
      </w:r>
      <w:r w:rsidR="009665EF">
        <w:t xml:space="preserve">attending as an Out-of-Area student </w:t>
      </w:r>
      <w:r w:rsidR="008C40CD">
        <w:t xml:space="preserve">may </w:t>
      </w:r>
      <w:r w:rsidR="009665EF">
        <w:t xml:space="preserve">be required to return to </w:t>
      </w:r>
      <w:r>
        <w:t>their</w:t>
      </w:r>
      <w:r w:rsidR="009665EF">
        <w:t xml:space="preserve"> designated school by address.</w:t>
      </w:r>
    </w:p>
    <w:p w:rsidR="00680319" w:rsidRPr="00DE4CE0" w:rsidRDefault="00680319" w:rsidP="00E5408E">
      <w:pPr>
        <w:pStyle w:val="Heading1"/>
      </w:pPr>
      <w:r w:rsidRPr="00DE4CE0">
        <w:t>SPECIFIC DIRECTIVES</w:t>
      </w:r>
    </w:p>
    <w:p w:rsidR="00423982" w:rsidRPr="00DE4CE0" w:rsidRDefault="00680319" w:rsidP="008F1F71">
      <w:r w:rsidRPr="00DE4CE0">
        <w:t>The Director of Education is authorized to issue operationa</w:t>
      </w:r>
      <w:r w:rsidR="008F1F71">
        <w:t>l procedures to implement this P</w:t>
      </w:r>
      <w:r w:rsidRPr="00DE4CE0">
        <w:t>olicy.</w:t>
      </w:r>
    </w:p>
    <w:p w:rsidR="00680319" w:rsidRPr="00DE4CE0" w:rsidRDefault="00680319" w:rsidP="00E46E5D">
      <w:pPr>
        <w:pStyle w:val="Heading1"/>
      </w:pPr>
      <w:r w:rsidRPr="00DE4CE0">
        <w:t>EVALUATION</w:t>
      </w:r>
    </w:p>
    <w:p w:rsidR="00680319" w:rsidRPr="00DE4CE0" w:rsidRDefault="00423982" w:rsidP="00E46E5D">
      <w:r>
        <w:t>This Policy will be reviewed at a minimum every four (4) years from the effective date.</w:t>
      </w:r>
    </w:p>
    <w:p w:rsidR="00680319" w:rsidRPr="00DE4CE0" w:rsidRDefault="00680319" w:rsidP="00E46E5D">
      <w:pPr>
        <w:pStyle w:val="Heading1"/>
      </w:pPr>
      <w:r w:rsidRPr="00DE4CE0">
        <w:t>APPENDICES</w:t>
      </w:r>
    </w:p>
    <w:p w:rsidR="00680319" w:rsidRPr="00DE4CE0" w:rsidRDefault="00DC0E69" w:rsidP="00DC0E69">
      <w:r>
        <w:t>N/A</w:t>
      </w:r>
    </w:p>
    <w:p w:rsidR="00680319" w:rsidRPr="00E46E5D" w:rsidRDefault="00680319" w:rsidP="00E46E5D">
      <w:pPr>
        <w:pStyle w:val="Heading1"/>
      </w:pPr>
      <w:r w:rsidRPr="00E46E5D">
        <w:t>REFERENCE DOCUMENTS</w:t>
      </w:r>
    </w:p>
    <w:p w:rsidR="00832A1C" w:rsidRPr="00DE4CE0" w:rsidRDefault="00832A1C" w:rsidP="00E46E5D">
      <w:r w:rsidRPr="00DE4CE0">
        <w:t>Legislation</w:t>
      </w:r>
    </w:p>
    <w:p w:rsidR="001718B5" w:rsidRDefault="00832A1C" w:rsidP="00E46E5D">
      <w:pPr>
        <w:pStyle w:val="ListParagraph"/>
        <w:numPr>
          <w:ilvl w:val="0"/>
          <w:numId w:val="12"/>
        </w:numPr>
      </w:pPr>
      <w:r w:rsidRPr="00DE4CE0">
        <w:rPr>
          <w:i/>
        </w:rPr>
        <w:t>Education Act,</w:t>
      </w:r>
      <w:r w:rsidRPr="00DE4CE0">
        <w:t xml:space="preserve"> </w:t>
      </w:r>
      <w:r w:rsidR="001718B5">
        <w:rPr>
          <w:rFonts w:cs="Arial"/>
          <w:color w:val="222222"/>
          <w:lang w:val="en"/>
        </w:rPr>
        <w:t>R.S.O. 1990, c. E.2, s. 171 (1), par. 7.</w:t>
      </w:r>
    </w:p>
    <w:p w:rsidR="00832A1C" w:rsidRPr="00DE4CE0" w:rsidRDefault="00832A1C" w:rsidP="00E46E5D"/>
    <w:p w:rsidR="00832A1C" w:rsidRPr="00DE4CE0" w:rsidRDefault="00832A1C" w:rsidP="00E46E5D">
      <w:r w:rsidRPr="00DE4CE0">
        <w:t>Policies</w:t>
      </w:r>
    </w:p>
    <w:p w:rsidR="00832A1C" w:rsidRDefault="00423982" w:rsidP="00E46E5D">
      <w:pPr>
        <w:pStyle w:val="ListParagraph"/>
        <w:numPr>
          <w:ilvl w:val="0"/>
          <w:numId w:val="12"/>
        </w:numPr>
      </w:pPr>
      <w:r>
        <w:t>Equity</w:t>
      </w:r>
      <w:r w:rsidR="00CC44F0">
        <w:t xml:space="preserve"> Policy</w:t>
      </w:r>
      <w:r>
        <w:t xml:space="preserve"> </w:t>
      </w:r>
      <w:r w:rsidR="00832A1C" w:rsidRPr="00DE4CE0">
        <w:t>(P</w:t>
      </w:r>
      <w:r>
        <w:t>037</w:t>
      </w:r>
      <w:r w:rsidR="00832A1C" w:rsidRPr="00DE4CE0">
        <w:t>)</w:t>
      </w:r>
    </w:p>
    <w:p w:rsidR="00832A1C" w:rsidRPr="00DE4CE0" w:rsidRDefault="00832A1C" w:rsidP="00E46E5D"/>
    <w:p w:rsidR="00832A1C" w:rsidRPr="00DE4CE0" w:rsidRDefault="00832A1C" w:rsidP="00E46E5D">
      <w:r w:rsidRPr="00DE4CE0">
        <w:lastRenderedPageBreak/>
        <w:t>Procedures</w:t>
      </w:r>
    </w:p>
    <w:p w:rsidR="00832A1C" w:rsidRDefault="00CF07E3" w:rsidP="00E46E5D">
      <w:pPr>
        <w:pStyle w:val="ListParagraph"/>
        <w:numPr>
          <w:ilvl w:val="0"/>
          <w:numId w:val="12"/>
        </w:numPr>
      </w:pPr>
      <w:r>
        <w:t>Intensive</w:t>
      </w:r>
      <w:r w:rsidR="00DC0E69">
        <w:t xml:space="preserve"> French </w:t>
      </w:r>
      <w:r>
        <w:t xml:space="preserve">Programs </w:t>
      </w:r>
      <w:r w:rsidR="00CC44F0">
        <w:t xml:space="preserve">Procedure </w:t>
      </w:r>
      <w:r w:rsidR="00832A1C" w:rsidRPr="00DE4CE0">
        <w:t>(PR</w:t>
      </w:r>
      <w:r w:rsidR="00DC0E69">
        <w:t>597</w:t>
      </w:r>
      <w:r w:rsidR="00832A1C" w:rsidRPr="00DE4CE0">
        <w:t>)</w:t>
      </w:r>
    </w:p>
    <w:p w:rsidR="00854C47" w:rsidRPr="00DE4CE0" w:rsidRDefault="00854C47" w:rsidP="00854C47">
      <w:pPr>
        <w:pStyle w:val="ListParagraph"/>
        <w:ind w:left="1080"/>
      </w:pPr>
    </w:p>
    <w:p w:rsidR="00832A1C" w:rsidRPr="00DE4CE0" w:rsidRDefault="00832A1C" w:rsidP="00E46E5D"/>
    <w:p w:rsidR="00832A1C" w:rsidRPr="00DE4CE0" w:rsidRDefault="00832A1C" w:rsidP="00E46E5D"/>
    <w:sectPr w:rsidR="00832A1C" w:rsidRPr="00DE4CE0" w:rsidSect="0063176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9C" w:rsidRDefault="0043469C" w:rsidP="00E46E5D">
      <w:r>
        <w:separator/>
      </w:r>
    </w:p>
    <w:p w:rsidR="0043469C" w:rsidRDefault="0043469C" w:rsidP="00E46E5D"/>
  </w:endnote>
  <w:endnote w:type="continuationSeparator" w:id="0">
    <w:p w:rsidR="0043469C" w:rsidRDefault="0043469C" w:rsidP="00E46E5D">
      <w:r>
        <w:continuationSeparator/>
      </w:r>
    </w:p>
    <w:p w:rsidR="0043469C" w:rsidRDefault="0043469C"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05" w:rsidRDefault="00575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B5" w:rsidRDefault="001718B5" w:rsidP="00845A9F">
    <w:pPr>
      <w:jc w:val="right"/>
    </w:pPr>
    <w:r>
      <w:rPr>
        <w:noProof/>
        <w:lang w:eastAsia="en-CA"/>
      </w:rPr>
      <mc:AlternateContent>
        <mc:Choice Requires="wps">
          <w:drawing>
            <wp:anchor distT="0" distB="0" distL="114300" distR="114300" simplePos="0" relativeHeight="251662336" behindDoc="0" locked="0" layoutInCell="0" allowOverlap="1" wp14:anchorId="25CB3036" wp14:editId="7F053BFD">
              <wp:simplePos x="0" y="0"/>
              <wp:positionH relativeFrom="column">
                <wp:posOffset>-9525</wp:posOffset>
              </wp:positionH>
              <wp:positionV relativeFrom="margin">
                <wp:posOffset>8246110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" o:allowincell="f">
              <w10:wrap anchory="margin"/>
            </v:line>
          </w:pict>
        </mc:Fallback>
      </mc:AlternateContent>
    </w:r>
    <w:r>
      <w:rPr>
        <w:noProof/>
        <w:lang w:eastAsia="en-CA"/>
      </w:rPr>
      <mc:AlternateContent>
        <mc:Choice Requires="wps">
          <w:drawing>
            <wp:anchor distT="0" distB="0" distL="114300" distR="114300" simplePos="0" relativeHeight="251659264" behindDoc="0" locked="0" layoutInCell="0" allowOverlap="1" wp14:anchorId="06DB57D8" wp14:editId="27C5A18F">
              <wp:simplePos x="0" y="0"/>
              <wp:positionH relativeFrom="column">
                <wp:posOffset>1062990</wp:posOffset>
              </wp:positionH>
              <wp:positionV relativeFrom="paragraph">
                <wp:posOffset>9328150</wp:posOffset>
              </wp:positionV>
              <wp:extent cx="596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zufZHFpIB19C8iHRWOc/c92hYBRYChVkIzk5PTsf&#10;iJB8CAnHSm+FlLH1UqG+wMvZdBYTnJaCBWcIc7Y5lNKiEwnDE79YFXgew6w+KhbBWk7Y5mZ7IuTV&#10;hsulCnhQCtC5Wdfp+LGcLDeLzSIbZdP5ZpRNqmr0aVtmo/k2/TirPlRlWaU/A7U0y1vBGFeB3TCp&#10;afZ3k3B7M9cZu8/qXYbkLXrUC8gO/0g69jK07zoIB80uOzv0GIYzBt8eUpj+xz3Yj899/Qs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HD9pTAcAgAANgQAAA4AAAAAAAAAAAAAAAAALgIAAGRycy9lMm9Eb2MueG1sUEsBAi0A&#10;FAAGAAgAAAAhALGRDczdAAAADgEAAA8AAAAAAAAAAAAAAAAAdgQAAGRycy9kb3ducmV2LnhtbFBL&#10;BQYAAAAABAAEAPMAAACABQ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63D3A53E" wp14:editId="49772180">
              <wp:simplePos x="0" y="0"/>
              <wp:positionH relativeFrom="column">
                <wp:posOffset>1062990</wp:posOffset>
              </wp:positionH>
              <wp:positionV relativeFrom="paragraph">
                <wp:posOffset>9328150</wp:posOffset>
              </wp:positionV>
              <wp:extent cx="59664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392455">
      <w:rPr>
        <w:noProof/>
      </w:rPr>
      <w:t>2</w:t>
    </w:r>
    <w:r w:rsidRPr="00655002">
      <w:fldChar w:fldCharType="end"/>
    </w:r>
    <w:r w:rsidRPr="00655002">
      <w:t xml:space="preserve"> of </w:t>
    </w:r>
    <w:fldSimple w:instr=" NUMPAGES ">
      <w:r w:rsidR="00392455">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B5" w:rsidRPr="00575005" w:rsidRDefault="001718B5" w:rsidP="00575005">
    <w:pPr>
      <w:ind w:left="0"/>
      <w:rPr>
        <w:sz w:val="20"/>
        <w:szCs w:val="20"/>
      </w:rPr>
    </w:pPr>
    <w:r w:rsidRPr="00575005">
      <w:rPr>
        <w:noProof/>
        <w:sz w:val="20"/>
        <w:szCs w:val="20"/>
        <w:lang w:eastAsia="en-CA"/>
      </w:rPr>
      <mc:AlternateContent>
        <mc:Choice Requires="wps">
          <w:drawing>
            <wp:anchor distT="0" distB="0" distL="114300" distR="114300" simplePos="0" relativeHeight="251663360" behindDoc="0" locked="0" layoutInCell="0" allowOverlap="1" wp14:anchorId="48105459" wp14:editId="3580A8B5">
              <wp:simplePos x="0" y="0"/>
              <wp:positionH relativeFrom="column">
                <wp:posOffset>-9525</wp:posOffset>
              </wp:positionH>
              <wp:positionV relativeFrom="margin">
                <wp:posOffset>8248015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" o:allowincell="f">
              <w10:wrap anchory="margin"/>
            </v:line>
          </w:pict>
        </mc:Fallback>
      </mc:AlternateContent>
    </w:r>
    <w:r w:rsidRPr="00575005">
      <w:rPr>
        <w:noProof/>
        <w:sz w:val="20"/>
        <w:szCs w:val="20"/>
        <w:lang w:eastAsia="en-CA"/>
      </w:rPr>
      <mc:AlternateContent>
        <mc:Choice Requires="wps">
          <w:drawing>
            <wp:anchor distT="0" distB="0" distL="114300" distR="114300" simplePos="0" relativeHeight="251661312" behindDoc="0" locked="0" layoutInCell="0" allowOverlap="1" wp14:anchorId="23D50172" wp14:editId="3DA53626">
              <wp:simplePos x="0" y="0"/>
              <wp:positionH relativeFrom="column">
                <wp:posOffset>1062990</wp:posOffset>
              </wp:positionH>
              <wp:positionV relativeFrom="paragraph">
                <wp:posOffset>9328150</wp:posOffset>
              </wp:positionV>
              <wp:extent cx="59664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W83k2h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JS/6YIcAgAANgQAAA4AAAAAAAAAAAAAAAAALgIAAGRycy9lMm9Eb2MueG1sUEsBAi0A&#10;FAAGAAgAAAAhALGRDczdAAAADgEAAA8AAAAAAAAAAAAAAAAAdgQAAGRycy9kb3ducmV2LnhtbFBL&#10;BQYAAAAABAAEAPMAAACABQAAAAA=&#10;" o:allowincell="f"/>
          </w:pict>
        </mc:Fallback>
      </mc:AlternateContent>
    </w:r>
    <w:r w:rsidRPr="00575005">
      <w:rPr>
        <w:sz w:val="20"/>
        <w:szCs w:val="20"/>
      </w:rPr>
      <w:t>Attendance</w:t>
    </w:r>
    <w:r w:rsidR="00575005" w:rsidRPr="00575005">
      <w:rPr>
        <w:sz w:val="20"/>
        <w:szCs w:val="20"/>
      </w:rPr>
      <w:t xml:space="preserve"> at Schools Outside of Designated Attendance Area (P013)</w:t>
    </w:r>
  </w:p>
  <w:p w:rsidR="001718B5" w:rsidRPr="00C2222D" w:rsidRDefault="00575005" w:rsidP="00575005">
    <w:pPr>
      <w:tabs>
        <w:tab w:val="right" w:pos="9360"/>
      </w:tabs>
      <w:ind w:left="0"/>
      <w:rPr>
        <w:sz w:val="20"/>
        <w:szCs w:val="20"/>
      </w:rPr>
    </w:pPr>
    <w:r w:rsidRPr="00575005">
      <w:rPr>
        <w:sz w:val="20"/>
        <w:szCs w:val="20"/>
      </w:rPr>
      <w:t>R:\S</w:t>
    </w:r>
    <w:r>
      <w:rPr>
        <w:sz w:val="20"/>
        <w:szCs w:val="20"/>
      </w:rPr>
      <w:t>ecretariat\Staff\G02\03\Pol\P013</w:t>
    </w:r>
    <w:r w:rsidR="001718B5">
      <w:rPr>
        <w:sz w:val="20"/>
        <w:szCs w:val="20"/>
      </w:rPr>
      <w:tab/>
    </w:r>
    <w:r w:rsidR="001718B5" w:rsidRPr="00FE4929">
      <w:t xml:space="preserve">Page </w:t>
    </w:r>
    <w:r w:rsidR="001718B5" w:rsidRPr="00FE4929">
      <w:fldChar w:fldCharType="begin"/>
    </w:r>
    <w:r w:rsidR="001718B5" w:rsidRPr="00FE4929">
      <w:instrText xml:space="preserve"> PAGE </w:instrText>
    </w:r>
    <w:r w:rsidR="001718B5" w:rsidRPr="00FE4929">
      <w:fldChar w:fldCharType="separate"/>
    </w:r>
    <w:r w:rsidR="00392455">
      <w:rPr>
        <w:noProof/>
      </w:rPr>
      <w:t>1</w:t>
    </w:r>
    <w:r w:rsidR="001718B5" w:rsidRPr="00FE4929">
      <w:fldChar w:fldCharType="end"/>
    </w:r>
    <w:r w:rsidR="001718B5" w:rsidRPr="00FE4929">
      <w:t xml:space="preserve"> of </w:t>
    </w:r>
    <w:fldSimple w:instr=" NUMPAGES ">
      <w:r w:rsidR="00392455">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9C" w:rsidRDefault="0043469C" w:rsidP="00E46E5D">
      <w:r>
        <w:separator/>
      </w:r>
    </w:p>
    <w:p w:rsidR="0043469C" w:rsidRDefault="0043469C" w:rsidP="00E46E5D"/>
  </w:footnote>
  <w:footnote w:type="continuationSeparator" w:id="0">
    <w:p w:rsidR="0043469C" w:rsidRDefault="0043469C" w:rsidP="00E46E5D">
      <w:r>
        <w:continuationSeparator/>
      </w:r>
    </w:p>
    <w:p w:rsidR="0043469C" w:rsidRDefault="0043469C" w:rsidP="00E46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B5" w:rsidRDefault="00B5442B" w:rsidP="00E46E5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r w:rsidR="001718B5">
      <w:t>Toronto District School Board</w:t>
    </w:r>
    <w:r w:rsidR="001718B5">
      <w:tab/>
      <w:t>December 12, 2001</w:t>
    </w:r>
  </w:p>
  <w:p w:rsidR="001718B5" w:rsidRDefault="001718B5" w:rsidP="00E46E5D"/>
  <w:p w:rsidR="001718B5" w:rsidRDefault="001718B5" w:rsidP="00E46E5D"/>
  <w:p w:rsidR="001718B5" w:rsidRDefault="001718B5" w:rsidP="00E46E5D"/>
  <w:p w:rsidR="001718B5" w:rsidRDefault="001718B5" w:rsidP="00E46E5D"/>
  <w:p w:rsidR="001718B5" w:rsidRDefault="001718B5" w:rsidP="00E46E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B5" w:rsidRPr="00C645A5" w:rsidRDefault="00B5442B" w:rsidP="00173094">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r w:rsidR="001718B5">
      <w:rPr>
        <w:b/>
      </w:rPr>
      <w:tab/>
    </w:r>
    <w:r w:rsidR="001718B5">
      <w:rPr>
        <w:b/>
      </w:rPr>
      <w:tab/>
    </w:r>
  </w:p>
  <w:p w:rsidR="001718B5" w:rsidRDefault="00171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B5" w:rsidRPr="00575005" w:rsidRDefault="00B5442B" w:rsidP="00E149E9">
    <w:pPr>
      <w:pStyle w:val="Header"/>
      <w:rPr>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r w:rsidR="001718B5">
      <w:rPr>
        <w:b/>
      </w:rPr>
      <w:tab/>
    </w:r>
    <w:r w:rsidR="001718B5">
      <w:rPr>
        <w:b/>
      </w:rPr>
      <w:tab/>
    </w:r>
    <w:r w:rsidR="00E149E9" w:rsidRPr="00575005">
      <w:rPr>
        <w:b/>
        <w:color w:val="FF0000"/>
        <w:sz w:val="20"/>
        <w:szCs w:val="20"/>
      </w:rPr>
      <w:t>DRAFT</w:t>
    </w:r>
    <w:r w:rsidR="00575005" w:rsidRPr="00575005">
      <w:rPr>
        <w:b/>
        <w:color w:val="FF0000"/>
        <w:sz w:val="20"/>
        <w:szCs w:val="20"/>
      </w:rPr>
      <w:t xml:space="preserve"> FOR CONSULTATION</w:t>
    </w:r>
  </w:p>
  <w:p w:rsidR="001718B5" w:rsidRDefault="00171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D09"/>
    <w:multiLevelType w:val="multilevel"/>
    <w:tmpl w:val="EF54ECB6"/>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1">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3B012A9"/>
    <w:multiLevelType w:val="multilevel"/>
    <w:tmpl w:val="EF54ECB6"/>
    <w:numStyleLink w:val="NumberedHeadingsforPolicy"/>
  </w:abstractNum>
  <w:abstractNum w:abstractNumId="3">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CD7250C"/>
    <w:multiLevelType w:val="hybridMultilevel"/>
    <w:tmpl w:val="F036EF48"/>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5B10762"/>
    <w:multiLevelType w:val="multilevel"/>
    <w:tmpl w:val="EF54ECB6"/>
    <w:numStyleLink w:val="NumberedHeadingsforPolicy"/>
  </w:abstractNum>
  <w:abstractNum w:abstractNumId="8">
    <w:nsid w:val="6DAD5807"/>
    <w:multiLevelType w:val="hybridMultilevel"/>
    <w:tmpl w:val="06ECFD7A"/>
    <w:lvl w:ilvl="0" w:tplc="3D1CDC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4">
    <w:abstractNumId w:val="4"/>
  </w:num>
  <w:num w:numId="5">
    <w:abstractNumId w:val="6"/>
  </w:num>
  <w:num w:numId="6">
    <w:abstractNumId w:val="0"/>
  </w:num>
  <w:num w:numId="7">
    <w:abstractNumId w:val="0"/>
  </w:num>
  <w:num w:numId="8">
    <w:abstractNumId w:val="0"/>
  </w:num>
  <w:num w:numId="9">
    <w:abstractNumId w:val="0"/>
  </w:num>
  <w:num w:numId="10">
    <w:abstractNumId w:val="7"/>
  </w:num>
  <w:num w:numId="11">
    <w:abstractNumId w:val="2"/>
  </w:num>
  <w:num w:numId="12">
    <w:abstractNumId w:val="6"/>
  </w:num>
  <w:num w:numId="13">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14">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15">
    <w:abstractNumId w:val="8"/>
  </w:num>
  <w:num w:numId="16">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17">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18">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19">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0">
    <w:abstractNumId w:val="0"/>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1.%2.%3."/>
        <w:lvlJc w:val="left"/>
        <w:pPr>
          <w:ind w:left="2160" w:hanging="360"/>
        </w:pPr>
        <w:rPr>
          <w:rFonts w:ascii="Arial" w:hAnsi="Arial" w:cs="Times New Roman" w:hint="default"/>
          <w:b w:val="0"/>
          <w:i w:val="0"/>
          <w:sz w:val="24"/>
        </w:rPr>
      </w:lvl>
    </w:lvlOverride>
    <w:lvlOverride w:ilvl="3">
      <w:startOverride w:val="1"/>
      <w:lvl w:ilvl="3">
        <w:start w:val="1"/>
        <w:numFmt w:val="decimal"/>
        <w:pStyle w:val="Heading4"/>
        <w:lvlText w:val=""/>
        <w:lvlJc w:val="left"/>
      </w:lvl>
    </w:lvlOverride>
    <w:lvlOverride w:ilvl="4">
      <w:lvl w:ilvl="4">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lvlText w:val=""/>
        <w:lvlJc w:val="left"/>
      </w:lvl>
    </w:lvlOverride>
  </w:num>
  <w:num w:numId="21">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2">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3">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4">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5">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6">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7">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8">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29">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0">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1">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2">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3">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4">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5">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6">
    <w:abstractNumId w:val="0"/>
    <w:lvlOverride w:ilvl="2">
      <w:lvl w:ilvl="2">
        <w:start w:val="1"/>
        <w:numFmt w:val="decimal"/>
        <w:pStyle w:val="Heading3"/>
        <w:lvlText w:val="%1.%2.%3."/>
        <w:lvlJc w:val="left"/>
        <w:pPr>
          <w:ind w:left="1080" w:hanging="360"/>
        </w:pPr>
        <w:rPr>
          <w:rFonts w:ascii="Arial" w:hAnsi="Arial" w:hint="default"/>
          <w:b w:val="0"/>
          <w:i w:val="0"/>
          <w:sz w:val="24"/>
        </w:rPr>
      </w:lvl>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E7"/>
    <w:rsid w:val="00010890"/>
    <w:rsid w:val="00057659"/>
    <w:rsid w:val="00075630"/>
    <w:rsid w:val="000A6E81"/>
    <w:rsid w:val="000B1249"/>
    <w:rsid w:val="001128A2"/>
    <w:rsid w:val="001156FC"/>
    <w:rsid w:val="00131B58"/>
    <w:rsid w:val="00151F42"/>
    <w:rsid w:val="001718B5"/>
    <w:rsid w:val="00173094"/>
    <w:rsid w:val="001A1EA8"/>
    <w:rsid w:val="001C09C1"/>
    <w:rsid w:val="001F3CEF"/>
    <w:rsid w:val="00211CAE"/>
    <w:rsid w:val="002324D9"/>
    <w:rsid w:val="00236ED6"/>
    <w:rsid w:val="00242EAC"/>
    <w:rsid w:val="00245A56"/>
    <w:rsid w:val="00250201"/>
    <w:rsid w:val="0028697F"/>
    <w:rsid w:val="002935FB"/>
    <w:rsid w:val="00305189"/>
    <w:rsid w:val="00305E4D"/>
    <w:rsid w:val="00306BEE"/>
    <w:rsid w:val="00333BA8"/>
    <w:rsid w:val="00335691"/>
    <w:rsid w:val="003735A6"/>
    <w:rsid w:val="00385770"/>
    <w:rsid w:val="00392455"/>
    <w:rsid w:val="0039792F"/>
    <w:rsid w:val="003E5AC0"/>
    <w:rsid w:val="003F2877"/>
    <w:rsid w:val="00423982"/>
    <w:rsid w:val="0043469C"/>
    <w:rsid w:val="00452268"/>
    <w:rsid w:val="00482FA8"/>
    <w:rsid w:val="00492326"/>
    <w:rsid w:val="004D18F8"/>
    <w:rsid w:val="0053259D"/>
    <w:rsid w:val="00551946"/>
    <w:rsid w:val="00573D23"/>
    <w:rsid w:val="00575005"/>
    <w:rsid w:val="0058630C"/>
    <w:rsid w:val="005E02D7"/>
    <w:rsid w:val="005E3348"/>
    <w:rsid w:val="005F7D81"/>
    <w:rsid w:val="00605A96"/>
    <w:rsid w:val="0061145A"/>
    <w:rsid w:val="00620CD9"/>
    <w:rsid w:val="0063176D"/>
    <w:rsid w:val="00670385"/>
    <w:rsid w:val="00670E0E"/>
    <w:rsid w:val="00680319"/>
    <w:rsid w:val="00682F88"/>
    <w:rsid w:val="00684B10"/>
    <w:rsid w:val="006934C4"/>
    <w:rsid w:val="00694523"/>
    <w:rsid w:val="006A16B7"/>
    <w:rsid w:val="006B68D8"/>
    <w:rsid w:val="006C590C"/>
    <w:rsid w:val="006D6595"/>
    <w:rsid w:val="0070020E"/>
    <w:rsid w:val="0073225F"/>
    <w:rsid w:val="007345F7"/>
    <w:rsid w:val="007506EE"/>
    <w:rsid w:val="0077129F"/>
    <w:rsid w:val="00776D7A"/>
    <w:rsid w:val="007B0BF7"/>
    <w:rsid w:val="007B25AB"/>
    <w:rsid w:val="007B78D1"/>
    <w:rsid w:val="00806D95"/>
    <w:rsid w:val="00832A1C"/>
    <w:rsid w:val="00845A9F"/>
    <w:rsid w:val="00854C47"/>
    <w:rsid w:val="00875C1A"/>
    <w:rsid w:val="0087643C"/>
    <w:rsid w:val="008C40CD"/>
    <w:rsid w:val="008F1F71"/>
    <w:rsid w:val="00900B19"/>
    <w:rsid w:val="009029A6"/>
    <w:rsid w:val="009205C5"/>
    <w:rsid w:val="00922DCA"/>
    <w:rsid w:val="009254C8"/>
    <w:rsid w:val="00925B0D"/>
    <w:rsid w:val="00960C0D"/>
    <w:rsid w:val="009665EF"/>
    <w:rsid w:val="00967C31"/>
    <w:rsid w:val="009B3391"/>
    <w:rsid w:val="009D75EE"/>
    <w:rsid w:val="009F5840"/>
    <w:rsid w:val="009F6EFA"/>
    <w:rsid w:val="00A758EB"/>
    <w:rsid w:val="00A912A3"/>
    <w:rsid w:val="00AC6F76"/>
    <w:rsid w:val="00B06416"/>
    <w:rsid w:val="00B064E7"/>
    <w:rsid w:val="00B23771"/>
    <w:rsid w:val="00B34426"/>
    <w:rsid w:val="00B4139F"/>
    <w:rsid w:val="00B5442B"/>
    <w:rsid w:val="00C00432"/>
    <w:rsid w:val="00C2222D"/>
    <w:rsid w:val="00C235AA"/>
    <w:rsid w:val="00C40032"/>
    <w:rsid w:val="00C7086C"/>
    <w:rsid w:val="00CB4C0D"/>
    <w:rsid w:val="00CC44F0"/>
    <w:rsid w:val="00CD0EA7"/>
    <w:rsid w:val="00CF07E3"/>
    <w:rsid w:val="00DA05F4"/>
    <w:rsid w:val="00DA78C3"/>
    <w:rsid w:val="00DB7F4B"/>
    <w:rsid w:val="00DC0E69"/>
    <w:rsid w:val="00DE4CE0"/>
    <w:rsid w:val="00DF5E53"/>
    <w:rsid w:val="00E149E9"/>
    <w:rsid w:val="00E46E5D"/>
    <w:rsid w:val="00E5408E"/>
    <w:rsid w:val="00EE26A5"/>
    <w:rsid w:val="00EF31B8"/>
    <w:rsid w:val="00F30F65"/>
    <w:rsid w:val="00FA3828"/>
    <w:rsid w:val="00FB42A8"/>
    <w:rsid w:val="00FC2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ind w:left="1260" w:hanging="7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styleId="BalloonText">
    <w:name w:val="Balloon Text"/>
    <w:basedOn w:val="Normal"/>
    <w:link w:val="BalloonTextChar"/>
    <w:uiPriority w:val="99"/>
    <w:semiHidden/>
    <w:unhideWhenUsed/>
    <w:rsid w:val="00DA78C3"/>
    <w:rPr>
      <w:rFonts w:ascii="Tahoma" w:hAnsi="Tahoma" w:cs="Tahoma"/>
      <w:sz w:val="16"/>
      <w:szCs w:val="16"/>
    </w:rPr>
  </w:style>
  <w:style w:type="character" w:customStyle="1" w:styleId="BalloonTextChar">
    <w:name w:val="Balloon Text Char"/>
    <w:basedOn w:val="DefaultParagraphFont"/>
    <w:link w:val="BalloonText"/>
    <w:uiPriority w:val="99"/>
    <w:semiHidden/>
    <w:rsid w:val="00DA78C3"/>
    <w:rPr>
      <w:rFonts w:ascii="Tahoma" w:hAnsi="Tahoma" w:cs="Tahoma"/>
      <w:sz w:val="16"/>
      <w:szCs w:val="16"/>
    </w:rPr>
  </w:style>
  <w:style w:type="character" w:styleId="CommentReference">
    <w:name w:val="annotation reference"/>
    <w:basedOn w:val="DefaultParagraphFont"/>
    <w:uiPriority w:val="99"/>
    <w:semiHidden/>
    <w:unhideWhenUsed/>
    <w:rsid w:val="00335691"/>
    <w:rPr>
      <w:sz w:val="16"/>
      <w:szCs w:val="16"/>
    </w:rPr>
  </w:style>
  <w:style w:type="paragraph" w:styleId="CommentText">
    <w:name w:val="annotation text"/>
    <w:basedOn w:val="Normal"/>
    <w:link w:val="CommentTextChar"/>
    <w:uiPriority w:val="99"/>
    <w:semiHidden/>
    <w:unhideWhenUsed/>
    <w:rsid w:val="00335691"/>
    <w:rPr>
      <w:sz w:val="20"/>
      <w:szCs w:val="20"/>
    </w:rPr>
  </w:style>
  <w:style w:type="character" w:customStyle="1" w:styleId="CommentTextChar">
    <w:name w:val="Comment Text Char"/>
    <w:basedOn w:val="DefaultParagraphFont"/>
    <w:link w:val="CommentText"/>
    <w:uiPriority w:val="99"/>
    <w:semiHidden/>
    <w:rsid w:val="003356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5691"/>
    <w:rPr>
      <w:b/>
      <w:bCs/>
    </w:rPr>
  </w:style>
  <w:style w:type="character" w:customStyle="1" w:styleId="CommentSubjectChar">
    <w:name w:val="Comment Subject Char"/>
    <w:basedOn w:val="CommentTextChar"/>
    <w:link w:val="CommentSubject"/>
    <w:uiPriority w:val="99"/>
    <w:semiHidden/>
    <w:rsid w:val="0033569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ind w:left="1260" w:hanging="7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styleId="BalloonText">
    <w:name w:val="Balloon Text"/>
    <w:basedOn w:val="Normal"/>
    <w:link w:val="BalloonTextChar"/>
    <w:uiPriority w:val="99"/>
    <w:semiHidden/>
    <w:unhideWhenUsed/>
    <w:rsid w:val="00DA78C3"/>
    <w:rPr>
      <w:rFonts w:ascii="Tahoma" w:hAnsi="Tahoma" w:cs="Tahoma"/>
      <w:sz w:val="16"/>
      <w:szCs w:val="16"/>
    </w:rPr>
  </w:style>
  <w:style w:type="character" w:customStyle="1" w:styleId="BalloonTextChar">
    <w:name w:val="Balloon Text Char"/>
    <w:basedOn w:val="DefaultParagraphFont"/>
    <w:link w:val="BalloonText"/>
    <w:uiPriority w:val="99"/>
    <w:semiHidden/>
    <w:rsid w:val="00DA78C3"/>
    <w:rPr>
      <w:rFonts w:ascii="Tahoma" w:hAnsi="Tahoma" w:cs="Tahoma"/>
      <w:sz w:val="16"/>
      <w:szCs w:val="16"/>
    </w:rPr>
  </w:style>
  <w:style w:type="character" w:styleId="CommentReference">
    <w:name w:val="annotation reference"/>
    <w:basedOn w:val="DefaultParagraphFont"/>
    <w:uiPriority w:val="99"/>
    <w:semiHidden/>
    <w:unhideWhenUsed/>
    <w:rsid w:val="00335691"/>
    <w:rPr>
      <w:sz w:val="16"/>
      <w:szCs w:val="16"/>
    </w:rPr>
  </w:style>
  <w:style w:type="paragraph" w:styleId="CommentText">
    <w:name w:val="annotation text"/>
    <w:basedOn w:val="Normal"/>
    <w:link w:val="CommentTextChar"/>
    <w:uiPriority w:val="99"/>
    <w:semiHidden/>
    <w:unhideWhenUsed/>
    <w:rsid w:val="00335691"/>
    <w:rPr>
      <w:sz w:val="20"/>
      <w:szCs w:val="20"/>
    </w:rPr>
  </w:style>
  <w:style w:type="character" w:customStyle="1" w:styleId="CommentTextChar">
    <w:name w:val="Comment Text Char"/>
    <w:basedOn w:val="DefaultParagraphFont"/>
    <w:link w:val="CommentText"/>
    <w:uiPriority w:val="99"/>
    <w:semiHidden/>
    <w:rsid w:val="003356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5691"/>
    <w:rPr>
      <w:b/>
      <w:bCs/>
    </w:rPr>
  </w:style>
  <w:style w:type="character" w:customStyle="1" w:styleId="CommentSubjectChar">
    <w:name w:val="Comment Subject Char"/>
    <w:basedOn w:val="CommentTextChar"/>
    <w:link w:val="CommentSubject"/>
    <w:uiPriority w:val="99"/>
    <w:semiHidden/>
    <w:rsid w:val="003356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217">
      <w:bodyDiv w:val="1"/>
      <w:marLeft w:val="0"/>
      <w:marRight w:val="0"/>
      <w:marTop w:val="0"/>
      <w:marBottom w:val="0"/>
      <w:divBdr>
        <w:top w:val="none" w:sz="0" w:space="0" w:color="auto"/>
        <w:left w:val="none" w:sz="0" w:space="0" w:color="auto"/>
        <w:bottom w:val="none" w:sz="0" w:space="0" w:color="auto"/>
        <w:right w:val="none" w:sz="0" w:space="0" w:color="auto"/>
      </w:divBdr>
    </w:div>
    <w:div w:id="897743312">
      <w:bodyDiv w:val="1"/>
      <w:marLeft w:val="0"/>
      <w:marRight w:val="0"/>
      <w:marTop w:val="0"/>
      <w:marBottom w:val="0"/>
      <w:divBdr>
        <w:top w:val="none" w:sz="0" w:space="0" w:color="auto"/>
        <w:left w:val="none" w:sz="0" w:space="0" w:color="auto"/>
        <w:bottom w:val="none" w:sz="0" w:space="0" w:color="auto"/>
        <w:right w:val="none" w:sz="0" w:space="0" w:color="auto"/>
      </w:divBdr>
    </w:div>
    <w:div w:id="9403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8217\Desktop\Policy%20Template%20-%20February%2025%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CDDC-8172-405A-B475-C93999B1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February 25 2019.dotm</Template>
  <TotalTime>17</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Mustafaa</dc:creator>
  <cp:lastModifiedBy>Mustafa, Ron</cp:lastModifiedBy>
  <cp:revision>4</cp:revision>
  <cp:lastPrinted>2019-11-01T15:44:00Z</cp:lastPrinted>
  <dcterms:created xsi:type="dcterms:W3CDTF">2019-11-01T15:30:00Z</dcterms:created>
  <dcterms:modified xsi:type="dcterms:W3CDTF">2019-11-01T15:46:00Z</dcterms:modified>
</cp:coreProperties>
</file>