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45" w:rsidRDefault="006D6945" w:rsidP="006D6945">
      <w:pPr>
        <w:rPr>
          <w:rFonts w:ascii="Arial" w:eastAsia="Arial" w:hAnsi="Arial" w:cs="Arial"/>
          <w:b/>
        </w:rPr>
      </w:pPr>
      <w:r>
        <w:rPr>
          <w:rFonts w:ascii="Arial" w:eastAsia="Arial" w:hAnsi="Arial" w:cs="Arial"/>
          <w:b/>
        </w:rPr>
        <w:t>Back to school on the TTC</w:t>
      </w:r>
    </w:p>
    <w:p w:rsidR="006D6945" w:rsidRDefault="006D6945" w:rsidP="006D6945">
      <w:pPr>
        <w:rPr>
          <w:rFonts w:ascii="Arial" w:eastAsia="Arial" w:hAnsi="Arial" w:cs="Arial"/>
        </w:rPr>
      </w:pPr>
      <w:r>
        <w:rPr>
          <w:rFonts w:ascii="Arial" w:eastAsia="Arial" w:hAnsi="Arial" w:cs="Arial"/>
        </w:rPr>
        <w:t>The TTC is an easy and affordable way for you to get to and from school. Every year in the fall, we increase our service to elementary and secondary schools across the city. Visit ttc.ca to plan your trip.</w:t>
      </w:r>
    </w:p>
    <w:p w:rsidR="006D6945" w:rsidRDefault="006D6945" w:rsidP="006D6945">
      <w:pPr>
        <w:rPr>
          <w:rFonts w:ascii="Arial" w:hAnsi="Arial" w:cs="Arial"/>
        </w:rPr>
      </w:pPr>
      <w:r>
        <w:rPr>
          <w:rFonts w:ascii="Arial" w:hAnsi="Arial" w:cs="Arial"/>
        </w:rPr>
        <w:t>For a smooth and safe trip, please:</w:t>
      </w:r>
    </w:p>
    <w:p w:rsidR="006D6945" w:rsidRDefault="006D6945" w:rsidP="006D6945">
      <w:pPr>
        <w:pStyle w:val="ListParagraph"/>
        <w:numPr>
          <w:ilvl w:val="0"/>
          <w:numId w:val="1"/>
        </w:numPr>
        <w:contextualSpacing/>
        <w:rPr>
          <w:rFonts w:ascii="Arial" w:hAnsi="Arial" w:cs="Arial"/>
        </w:rPr>
      </w:pPr>
      <w:r>
        <w:rPr>
          <w:rFonts w:ascii="Arial" w:hAnsi="Arial" w:cs="Arial"/>
        </w:rPr>
        <w:t>Follow traffic signals, never run or cross the street in the middle of a block to catch a bus or streetcar.</w:t>
      </w:r>
    </w:p>
    <w:p w:rsidR="006D6945" w:rsidRDefault="006D6945" w:rsidP="006D6945">
      <w:pPr>
        <w:pStyle w:val="ListParagraph"/>
        <w:numPr>
          <w:ilvl w:val="0"/>
          <w:numId w:val="1"/>
        </w:numPr>
        <w:contextualSpacing/>
        <w:rPr>
          <w:rFonts w:ascii="Arial" w:eastAsia="Arial" w:hAnsi="Arial" w:cs="Arial"/>
        </w:rPr>
      </w:pPr>
      <w:r>
        <w:rPr>
          <w:rFonts w:ascii="Arial" w:hAnsi="Arial" w:cs="Arial"/>
        </w:rPr>
        <w:t>Form a single line at the stop and stay back from the curb.</w:t>
      </w:r>
    </w:p>
    <w:p w:rsidR="006D6945" w:rsidRDefault="006D6945" w:rsidP="006D6945">
      <w:pPr>
        <w:pStyle w:val="ListParagraph"/>
        <w:numPr>
          <w:ilvl w:val="0"/>
          <w:numId w:val="1"/>
        </w:numPr>
        <w:contextualSpacing/>
        <w:rPr>
          <w:rFonts w:ascii="Arial" w:eastAsia="Arial" w:hAnsi="Arial" w:cs="Arial"/>
        </w:rPr>
      </w:pPr>
      <w:r>
        <w:rPr>
          <w:rFonts w:ascii="Arial" w:eastAsia="Arial" w:hAnsi="Arial" w:cs="Arial"/>
        </w:rPr>
        <w:t xml:space="preserve">Wait for others to exit a bus, streetcar or subway before boarding. </w:t>
      </w:r>
    </w:p>
    <w:p w:rsidR="006D6945" w:rsidRDefault="006D6945" w:rsidP="006D6945">
      <w:pPr>
        <w:pStyle w:val="ListParagraph"/>
        <w:numPr>
          <w:ilvl w:val="0"/>
          <w:numId w:val="1"/>
        </w:numPr>
        <w:contextualSpacing/>
        <w:rPr>
          <w:rFonts w:ascii="Arial" w:eastAsia="Arial" w:hAnsi="Arial" w:cs="Arial"/>
        </w:rPr>
      </w:pPr>
      <w:r>
        <w:rPr>
          <w:rFonts w:ascii="Arial" w:eastAsia="Arial" w:hAnsi="Arial" w:cs="Arial"/>
        </w:rPr>
        <w:t xml:space="preserve">Wait for people using mobility devices to get on the bus or streetcar first. </w:t>
      </w:r>
    </w:p>
    <w:p w:rsidR="006D6945" w:rsidRDefault="006D6945" w:rsidP="006D6945">
      <w:pPr>
        <w:pStyle w:val="ListParagraph"/>
        <w:numPr>
          <w:ilvl w:val="0"/>
          <w:numId w:val="1"/>
        </w:numPr>
        <w:contextualSpacing/>
        <w:rPr>
          <w:rFonts w:ascii="Arial" w:eastAsia="Arial" w:hAnsi="Arial" w:cs="Arial"/>
        </w:rPr>
      </w:pPr>
      <w:r>
        <w:rPr>
          <w:rFonts w:ascii="Arial" w:eastAsia="Arial" w:hAnsi="Arial" w:cs="Arial"/>
        </w:rPr>
        <w:t xml:space="preserve">Move to the back of the bus or streetcar or to the centre of the train. Please </w:t>
      </w:r>
      <w:proofErr w:type="gramStart"/>
      <w:r>
        <w:rPr>
          <w:rFonts w:ascii="Arial" w:eastAsia="Arial" w:hAnsi="Arial" w:cs="Arial"/>
        </w:rPr>
        <w:t>don’t</w:t>
      </w:r>
      <w:proofErr w:type="gramEnd"/>
      <w:r>
        <w:rPr>
          <w:rFonts w:ascii="Arial" w:eastAsia="Arial" w:hAnsi="Arial" w:cs="Arial"/>
        </w:rPr>
        <w:t xml:space="preserve"> block the doors.</w:t>
      </w:r>
    </w:p>
    <w:p w:rsidR="006D6945" w:rsidRDefault="006D6945" w:rsidP="006D6945">
      <w:pPr>
        <w:pStyle w:val="ListParagraph"/>
        <w:numPr>
          <w:ilvl w:val="0"/>
          <w:numId w:val="1"/>
        </w:numPr>
        <w:contextualSpacing/>
        <w:rPr>
          <w:rFonts w:ascii="Arial" w:eastAsiaTheme="minorHAnsi" w:hAnsi="Arial" w:cs="Arial"/>
          <w:lang w:val="en-US"/>
        </w:rPr>
      </w:pPr>
      <w:r>
        <w:rPr>
          <w:rFonts w:ascii="Arial" w:hAnsi="Arial" w:cs="Arial"/>
        </w:rPr>
        <w:t>Remove your backpack and place it on your lap or at your feet when you board a vehicle.</w:t>
      </w:r>
    </w:p>
    <w:p w:rsidR="006D6945" w:rsidRDefault="006D6945" w:rsidP="006D6945">
      <w:pPr>
        <w:pStyle w:val="ListParagraph"/>
        <w:numPr>
          <w:ilvl w:val="0"/>
          <w:numId w:val="1"/>
        </w:numPr>
        <w:contextualSpacing/>
        <w:rPr>
          <w:rFonts w:ascii="Arial" w:eastAsia="Arial" w:hAnsi="Arial" w:cs="Arial"/>
        </w:rPr>
      </w:pPr>
      <w:r>
        <w:rPr>
          <w:rFonts w:ascii="Arial" w:eastAsia="Arial" w:hAnsi="Arial" w:cs="Arial"/>
        </w:rPr>
        <w:t>Remove your headphones in stations so you can hear announcements.</w:t>
      </w:r>
    </w:p>
    <w:p w:rsidR="006D6945" w:rsidRDefault="006D6945" w:rsidP="006D6945">
      <w:pPr>
        <w:rPr>
          <w:rFonts w:ascii="Arial" w:eastAsia="Arial" w:hAnsi="Arial" w:cs="Arial"/>
          <w:b/>
        </w:rPr>
      </w:pPr>
      <w:r>
        <w:rPr>
          <w:rFonts w:ascii="Arial" w:eastAsia="Arial" w:hAnsi="Arial" w:cs="Arial"/>
          <w:b/>
        </w:rPr>
        <w:t>When you are in a subway station, please follow these safety tips:</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 xml:space="preserve">Do not run on the platform to catch the subway. Another one will arrive shortly. </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 xml:space="preserve">Never go down to the tracks for any reason. If you drop something on the tracks, such as your cell phone, leave it and tell a Station Collector or TTC employee. They will </w:t>
      </w:r>
      <w:proofErr w:type="gramStart"/>
      <w:r>
        <w:rPr>
          <w:rFonts w:ascii="Arial" w:eastAsia="Arial" w:hAnsi="Arial" w:cs="Arial"/>
        </w:rPr>
        <w:t>make arrangements</w:t>
      </w:r>
      <w:proofErr w:type="gramEnd"/>
      <w:r>
        <w:rPr>
          <w:rFonts w:ascii="Arial" w:eastAsia="Arial" w:hAnsi="Arial" w:cs="Arial"/>
        </w:rPr>
        <w:t xml:space="preserve"> to get it. </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 xml:space="preserve">Listen to the subway door chimes. </w:t>
      </w:r>
      <w:proofErr w:type="gramStart"/>
      <w:r>
        <w:rPr>
          <w:rFonts w:ascii="Arial" w:eastAsia="Arial" w:hAnsi="Arial" w:cs="Arial"/>
        </w:rPr>
        <w:t>Don’t</w:t>
      </w:r>
      <w:proofErr w:type="gramEnd"/>
      <w:r>
        <w:rPr>
          <w:rFonts w:ascii="Arial" w:eastAsia="Arial" w:hAnsi="Arial" w:cs="Arial"/>
        </w:rPr>
        <w:t xml:space="preserve"> rush to get through the doors, or try and open them once they have closed. Another train will arrive shortly. </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While waiting for the subway, stay close to the wall and stand behind the yellow line.</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 xml:space="preserve">Do not run on the escalators, please stand or walk on one side, while the escalator is moving. </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Carry your backpack in your hand and place it on your lap or at your feet once you are on the train.</w:t>
      </w:r>
    </w:p>
    <w:p w:rsidR="006D6945" w:rsidRDefault="006D6945" w:rsidP="006D6945">
      <w:pPr>
        <w:pStyle w:val="ListParagraph"/>
        <w:numPr>
          <w:ilvl w:val="0"/>
          <w:numId w:val="2"/>
        </w:numPr>
        <w:contextualSpacing/>
        <w:rPr>
          <w:rFonts w:ascii="Arial" w:eastAsia="Arial" w:hAnsi="Arial" w:cs="Arial"/>
        </w:rPr>
      </w:pPr>
      <w:r>
        <w:rPr>
          <w:rFonts w:ascii="Arial" w:eastAsia="Arial" w:hAnsi="Arial" w:cs="Arial"/>
        </w:rPr>
        <w:t>Report any issues to a TTC employee.</w:t>
      </w:r>
    </w:p>
    <w:p w:rsidR="006D6945" w:rsidRDefault="006D6945" w:rsidP="006D6945">
      <w:pPr>
        <w:rPr>
          <w:rFonts w:ascii="Arial" w:hAnsi="Arial" w:cs="Arial"/>
          <w:b/>
        </w:rPr>
      </w:pPr>
      <w:bookmarkStart w:id="0" w:name="_GoBack"/>
      <w:bookmarkEnd w:id="0"/>
    </w:p>
    <w:p w:rsidR="006D6945" w:rsidRDefault="006D6945" w:rsidP="006D6945">
      <w:pPr>
        <w:rPr>
          <w:rFonts w:ascii="Arial" w:hAnsi="Arial" w:cs="Arial"/>
          <w:b/>
        </w:rPr>
      </w:pPr>
      <w:r>
        <w:rPr>
          <w:rFonts w:ascii="Arial" w:hAnsi="Arial" w:cs="Arial"/>
          <w:b/>
        </w:rPr>
        <w:lastRenderedPageBreak/>
        <w:t>Pay your fare with a simple tap of your PRESTO card</w:t>
      </w:r>
    </w:p>
    <w:p w:rsidR="006D6945" w:rsidRDefault="006D6945" w:rsidP="006D6945">
      <w:pPr>
        <w:pStyle w:val="ListParagraph"/>
        <w:numPr>
          <w:ilvl w:val="0"/>
          <w:numId w:val="3"/>
        </w:numPr>
        <w:spacing w:after="120"/>
        <w:contextualSpacing/>
        <w:rPr>
          <w:rFonts w:ascii="Arial" w:eastAsiaTheme="minorHAnsi" w:hAnsi="Arial" w:cs="Arial"/>
          <w:lang w:val="en-US"/>
        </w:rPr>
      </w:pPr>
      <w:r>
        <w:rPr>
          <w:rFonts w:ascii="Arial" w:hAnsi="Arial" w:cs="Arial"/>
        </w:rPr>
        <w:t xml:space="preserve">PRESTO is the fastest and easiest way to pay your fare. </w:t>
      </w:r>
    </w:p>
    <w:p w:rsidR="006D6945" w:rsidRDefault="006D6945" w:rsidP="006D6945">
      <w:pPr>
        <w:pStyle w:val="ListParagraph"/>
        <w:numPr>
          <w:ilvl w:val="0"/>
          <w:numId w:val="3"/>
        </w:numPr>
        <w:spacing w:after="120"/>
        <w:contextualSpacing/>
        <w:rPr>
          <w:rFonts w:ascii="Arial" w:eastAsiaTheme="minorHAnsi" w:hAnsi="Arial" w:cs="Arial"/>
          <w:lang w:val="en-US"/>
        </w:rPr>
      </w:pPr>
      <w:r>
        <w:rPr>
          <w:rFonts w:ascii="Arial" w:hAnsi="Arial" w:cs="Arial"/>
        </w:rPr>
        <w:t xml:space="preserve">All PRESTO cards are set to deduct an adult fare. To pay a youth fare, take your PRESTO card, along with government issued identification, to a Shoppers Drug Mart location or the TTC’s Customer Service Centre, above </w:t>
      </w:r>
      <w:proofErr w:type="spellStart"/>
      <w:r>
        <w:rPr>
          <w:rFonts w:ascii="Arial" w:hAnsi="Arial" w:cs="Arial"/>
        </w:rPr>
        <w:t>Davisville</w:t>
      </w:r>
      <w:proofErr w:type="spellEnd"/>
      <w:r>
        <w:rPr>
          <w:rFonts w:ascii="Arial" w:hAnsi="Arial" w:cs="Arial"/>
        </w:rPr>
        <w:t xml:space="preserve"> Station, to have the setting on your card changed. You can also purchase a card at these locations for $4, if you </w:t>
      </w:r>
      <w:proofErr w:type="gramStart"/>
      <w:r>
        <w:rPr>
          <w:rFonts w:ascii="Arial" w:hAnsi="Arial" w:cs="Arial"/>
        </w:rPr>
        <w:t>don’t</w:t>
      </w:r>
      <w:proofErr w:type="gramEnd"/>
      <w:r>
        <w:rPr>
          <w:rFonts w:ascii="Arial" w:hAnsi="Arial" w:cs="Arial"/>
        </w:rPr>
        <w:t xml:space="preserve"> already have one. </w:t>
      </w:r>
    </w:p>
    <w:p w:rsidR="006D6945" w:rsidRDefault="006D6945" w:rsidP="006D6945">
      <w:pPr>
        <w:pStyle w:val="ListParagraph"/>
        <w:numPr>
          <w:ilvl w:val="0"/>
          <w:numId w:val="3"/>
        </w:numPr>
        <w:spacing w:after="120"/>
        <w:contextualSpacing/>
        <w:rPr>
          <w:rFonts w:ascii="Arial" w:eastAsiaTheme="minorHAnsi" w:hAnsi="Arial" w:cs="Arial"/>
          <w:lang w:val="en-US"/>
        </w:rPr>
      </w:pPr>
      <w:r>
        <w:rPr>
          <w:rFonts w:ascii="Arial" w:hAnsi="Arial" w:cs="Arial"/>
        </w:rPr>
        <w:t xml:space="preserve">Once the card </w:t>
      </w:r>
      <w:proofErr w:type="gramStart"/>
      <w:r>
        <w:rPr>
          <w:rFonts w:ascii="Arial" w:hAnsi="Arial" w:cs="Arial"/>
        </w:rPr>
        <w:t>has been reset</w:t>
      </w:r>
      <w:proofErr w:type="gramEnd"/>
      <w:r>
        <w:rPr>
          <w:rFonts w:ascii="Arial" w:hAnsi="Arial" w:cs="Arial"/>
        </w:rPr>
        <w:t xml:space="preserve"> to Youth, you can load your PRESTO card with a youth monthly pass for unlimited travel each month, or money to pay your fare as you go. Visit ttc.ca to learn more. </w:t>
      </w:r>
    </w:p>
    <w:p w:rsidR="006D6945" w:rsidRDefault="006D6945" w:rsidP="006D6945">
      <w:pPr>
        <w:pStyle w:val="ListParagraph"/>
        <w:numPr>
          <w:ilvl w:val="0"/>
          <w:numId w:val="3"/>
        </w:numPr>
        <w:spacing w:after="120"/>
        <w:contextualSpacing/>
        <w:rPr>
          <w:rFonts w:ascii="Arial" w:eastAsiaTheme="minorHAnsi" w:hAnsi="Arial" w:cs="Arial"/>
          <w:lang w:val="en-US"/>
        </w:rPr>
      </w:pPr>
      <w:r>
        <w:rPr>
          <w:rFonts w:ascii="Arial" w:hAnsi="Arial" w:cs="Arial"/>
        </w:rPr>
        <w:t xml:space="preserve">You must tap your card every time you board a vehicle on the street or enter a station through the fare gate. Your tapped PRESTO card is your Proof-of-Payment. Be prepared to show it at any point in your journey. </w:t>
      </w:r>
    </w:p>
    <w:p w:rsidR="006D6945" w:rsidRDefault="006D6945" w:rsidP="006D6945">
      <w:pPr>
        <w:pStyle w:val="ListParagraph"/>
        <w:numPr>
          <w:ilvl w:val="0"/>
          <w:numId w:val="3"/>
        </w:numPr>
        <w:spacing w:after="120"/>
        <w:contextualSpacing/>
        <w:rPr>
          <w:rFonts w:ascii="Arial" w:eastAsiaTheme="minorHAnsi" w:hAnsi="Arial" w:cs="Arial"/>
          <w:lang w:val="en-US"/>
        </w:rPr>
      </w:pPr>
      <w:r>
        <w:rPr>
          <w:rFonts w:ascii="Arial" w:hAnsi="Arial" w:cs="Arial"/>
        </w:rPr>
        <w:t xml:space="preserve">When you pay with PRESTO, you can also take advantage of the TTC’s two-hour transfer, which allows you to enter and exit the system as often as you want within two-hours from your first tap, without </w:t>
      </w:r>
      <w:proofErr w:type="gramStart"/>
      <w:r>
        <w:rPr>
          <w:rFonts w:ascii="Arial" w:hAnsi="Arial" w:cs="Arial"/>
        </w:rPr>
        <w:t>being charged</w:t>
      </w:r>
      <w:proofErr w:type="gramEnd"/>
      <w:r>
        <w:rPr>
          <w:rFonts w:ascii="Arial" w:hAnsi="Arial" w:cs="Arial"/>
        </w:rPr>
        <w:t xml:space="preserve"> another fare. </w:t>
      </w:r>
    </w:p>
    <w:p w:rsidR="006D6945" w:rsidRDefault="006D6945" w:rsidP="006D6945">
      <w:pPr>
        <w:pStyle w:val="ListParagraph"/>
        <w:numPr>
          <w:ilvl w:val="0"/>
          <w:numId w:val="3"/>
        </w:numPr>
        <w:spacing w:after="120"/>
        <w:contextualSpacing/>
        <w:rPr>
          <w:rFonts w:ascii="Arial" w:eastAsiaTheme="minorHAnsi" w:hAnsi="Arial" w:cs="Arial"/>
          <w:lang w:val="en-US"/>
        </w:rPr>
      </w:pPr>
      <w:proofErr w:type="gramStart"/>
      <w:r>
        <w:rPr>
          <w:rFonts w:ascii="Arial" w:hAnsi="Arial" w:cs="Arial"/>
        </w:rPr>
        <w:t>Youths</w:t>
      </w:r>
      <w:proofErr w:type="gramEnd"/>
      <w:r>
        <w:rPr>
          <w:rFonts w:ascii="Arial" w:hAnsi="Arial" w:cs="Arial"/>
        </w:rPr>
        <w:t xml:space="preserve"> ages 13 to 15 years of age do not need to carry identification, but youth ages 16-19 years old must carry a High School Photo ID or government issued identification, such as a driver’s licence or Ontario Photo Card. </w:t>
      </w:r>
    </w:p>
    <w:p w:rsidR="006D6945" w:rsidRDefault="006D6945" w:rsidP="006D6945">
      <w:pPr>
        <w:pStyle w:val="ListParagraph"/>
        <w:numPr>
          <w:ilvl w:val="0"/>
          <w:numId w:val="3"/>
        </w:numPr>
        <w:spacing w:after="120"/>
        <w:contextualSpacing/>
        <w:rPr>
          <w:rFonts w:ascii="Arial" w:hAnsi="Arial" w:cs="Arial"/>
        </w:rPr>
      </w:pPr>
      <w:r>
        <w:rPr>
          <w:rFonts w:ascii="Arial" w:hAnsi="Arial" w:cs="Arial"/>
        </w:rPr>
        <w:t xml:space="preserve">Children 12 years old and under ride </w:t>
      </w:r>
      <w:proofErr w:type="gramStart"/>
      <w:r>
        <w:rPr>
          <w:rFonts w:ascii="Arial" w:hAnsi="Arial" w:cs="Arial"/>
        </w:rPr>
        <w:t>for free</w:t>
      </w:r>
      <w:proofErr w:type="gramEnd"/>
      <w:r>
        <w:rPr>
          <w:rFonts w:ascii="Arial" w:hAnsi="Arial" w:cs="Arial"/>
        </w:rPr>
        <w:t xml:space="preserve">. The </w:t>
      </w:r>
      <w:hyperlink r:id="rId8" w:history="1">
        <w:r>
          <w:rPr>
            <w:rStyle w:val="Hyperlink"/>
            <w:rFonts w:ascii="Arial" w:hAnsi="Arial" w:cs="Arial"/>
          </w:rPr>
          <w:t>TTC Child Proof-of-Age Card</w:t>
        </w:r>
      </w:hyperlink>
      <w:r>
        <w:rPr>
          <w:rFonts w:ascii="Arial" w:hAnsi="Arial" w:cs="Arial"/>
        </w:rPr>
        <w:t xml:space="preserve"> is available for children who are tall for their age. To obtain one of these Proof-of-Age Cards at your school, please see your school administration.</w:t>
      </w:r>
    </w:p>
    <w:p w:rsidR="006D6945" w:rsidRDefault="006D6945" w:rsidP="006D6945">
      <w:pPr>
        <w:pStyle w:val="ListParagraph"/>
        <w:rPr>
          <w:rFonts w:ascii="Arial" w:eastAsiaTheme="minorHAnsi" w:hAnsi="Arial" w:cs="Arial"/>
          <w:b/>
          <w:sz w:val="21"/>
          <w:szCs w:val="21"/>
          <w:lang w:eastAsia="en-US"/>
        </w:rPr>
      </w:pPr>
    </w:p>
    <w:p w:rsidR="006D6945" w:rsidRDefault="006D6945" w:rsidP="006D6945">
      <w:pPr>
        <w:rPr>
          <w:rFonts w:ascii="Arial" w:eastAsia="Arial" w:hAnsi="Arial" w:cs="Arial"/>
        </w:rPr>
      </w:pPr>
      <w:r>
        <w:rPr>
          <w:rFonts w:ascii="Arial" w:eastAsia="Arial" w:hAnsi="Arial" w:cs="Arial"/>
        </w:rPr>
        <w:t xml:space="preserve">Learn more at ttc.ca/back-to-school </w:t>
      </w:r>
    </w:p>
    <w:p w:rsidR="00925084" w:rsidRDefault="00925084" w:rsidP="00EB156F">
      <w:pPr>
        <w:sectPr w:rsidR="00925084" w:rsidSect="00AE17C8">
          <w:headerReference w:type="default" r:id="rId9"/>
          <w:footerReference w:type="default" r:id="rId10"/>
          <w:headerReference w:type="first" r:id="rId11"/>
          <w:type w:val="continuous"/>
          <w:pgSz w:w="12240" w:h="15840"/>
          <w:pgMar w:top="2835" w:right="1440" w:bottom="2160" w:left="1440" w:header="720" w:footer="720" w:gutter="0"/>
          <w:cols w:space="720"/>
          <w:titlePg/>
          <w:docGrid w:linePitch="299"/>
        </w:sectPr>
      </w:pPr>
    </w:p>
    <w:p w:rsidR="00286BD9" w:rsidRPr="00466951" w:rsidRDefault="00286BD9" w:rsidP="00466951"/>
    <w:sectPr w:rsidR="00286BD9" w:rsidRPr="00466951" w:rsidSect="00AE17C8">
      <w:headerReference w:type="default" r:id="rId12"/>
      <w:footerReference w:type="default" r:id="rId13"/>
      <w:type w:val="continuous"/>
      <w:pgSz w:w="12240" w:h="15840" w:code="1"/>
      <w:pgMar w:top="2736"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45" w:rsidRDefault="006D6945" w:rsidP="00F26119">
      <w:r>
        <w:separator/>
      </w:r>
    </w:p>
  </w:endnote>
  <w:endnote w:type="continuationSeparator" w:id="0">
    <w:p w:rsidR="006D6945" w:rsidRDefault="006D6945" w:rsidP="00F2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27881"/>
      <w:docPartObj>
        <w:docPartGallery w:val="Page Numbers (Bottom of Page)"/>
        <w:docPartUnique/>
      </w:docPartObj>
    </w:sdtPr>
    <w:sdtEndPr>
      <w:rPr>
        <w:noProof/>
      </w:rPr>
    </w:sdtEndPr>
    <w:sdtContent>
      <w:p w:rsidR="003F1291" w:rsidRDefault="006D6945">
        <w:pPr>
          <w:pStyle w:val="Footer"/>
          <w:jc w:val="center"/>
        </w:pPr>
        <w:r>
          <w:rPr>
            <w:noProof/>
          </w:rPr>
          <w:drawing>
            <wp:anchor distT="0" distB="0" distL="114300" distR="114300" simplePos="0" relativeHeight="251680768" behindDoc="0" locked="0" layoutInCell="1" allowOverlap="1" wp14:anchorId="6EF84D4F" wp14:editId="46BAB5C0">
              <wp:simplePos x="0" y="0"/>
              <wp:positionH relativeFrom="page">
                <wp:align>right</wp:align>
              </wp:positionH>
              <wp:positionV relativeFrom="bottomMargin">
                <wp:align>top</wp:align>
              </wp:positionV>
              <wp:extent cx="7772400" cy="1280004"/>
              <wp:effectExtent l="0" t="0" r="0" b="0"/>
              <wp:wrapNone/>
              <wp:docPr id="1" name="Picture 1" descr="Jamaal Myers, Chair Joanne De Laurentiis, Vice-Chair Richard J. Leary, Chief Executive Officer Paul Ainslie, Commissioner Stephen Holyday, Commissioner&#10;Fenton Jagdeo, Commissioner Ron Lalonde, Commissioner Josh Matlow, Commissioner Chris Moise, Commissioner Julie Osborne, Commissioner Dianne Saxe, Commissioner&#10;" title="TTC Boar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 Footer -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004"/>
                      </a:xfrm>
                      <a:prstGeom prst="rect">
                        <a:avLst/>
                      </a:prstGeom>
                    </pic:spPr>
                  </pic:pic>
                </a:graphicData>
              </a:graphic>
              <wp14:sizeRelV relativeFrom="margin">
                <wp14:pctHeight>0</wp14:pctHeight>
              </wp14:sizeRelV>
            </wp:anchor>
          </w:drawing>
        </w:r>
        <w:r w:rsidR="003F1291">
          <w:fldChar w:fldCharType="begin"/>
        </w:r>
        <w:r w:rsidR="003F1291">
          <w:instrText xml:space="preserve"> PAGE   \* MERGEFORMAT </w:instrText>
        </w:r>
        <w:r w:rsidR="003F1291">
          <w:fldChar w:fldCharType="separate"/>
        </w:r>
        <w:r>
          <w:rPr>
            <w:noProof/>
          </w:rPr>
          <w:t>2</w:t>
        </w:r>
        <w:r w:rsidR="003F1291">
          <w:rPr>
            <w:noProof/>
          </w:rPr>
          <w:fldChar w:fldCharType="end"/>
        </w:r>
      </w:p>
    </w:sdtContent>
  </w:sdt>
  <w:p w:rsidR="00AE17C8" w:rsidRDefault="00AE1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EB" w:rsidRPr="002E5CEB" w:rsidRDefault="002E5CEB">
    <w:pPr>
      <w:pStyle w:val="Footer"/>
      <w:tabs>
        <w:tab w:val="clear" w:pos="4680"/>
        <w:tab w:val="clear" w:pos="9360"/>
      </w:tabs>
      <w:jc w:val="center"/>
      <w:rPr>
        <w:caps/>
        <w:noProof/>
      </w:rPr>
    </w:pPr>
    <w:r w:rsidRPr="002E5CEB">
      <w:rPr>
        <w:caps/>
      </w:rPr>
      <w:fldChar w:fldCharType="begin"/>
    </w:r>
    <w:r w:rsidRPr="002E5CEB">
      <w:rPr>
        <w:caps/>
      </w:rPr>
      <w:instrText xml:space="preserve"> PAGE   \* MERGEFORMAT </w:instrText>
    </w:r>
    <w:r w:rsidRPr="002E5CEB">
      <w:rPr>
        <w:caps/>
      </w:rPr>
      <w:fldChar w:fldCharType="separate"/>
    </w:r>
    <w:r w:rsidR="0039653E">
      <w:rPr>
        <w:caps/>
        <w:noProof/>
      </w:rPr>
      <w:t>2</w:t>
    </w:r>
    <w:r w:rsidRPr="002E5CEB">
      <w:rPr>
        <w:caps/>
        <w:noProof/>
      </w:rPr>
      <w:fldChar w:fldCharType="end"/>
    </w:r>
  </w:p>
  <w:p w:rsidR="002E5CEB" w:rsidRDefault="002E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45" w:rsidRDefault="006D6945" w:rsidP="00F26119">
      <w:r>
        <w:separator/>
      </w:r>
    </w:p>
  </w:footnote>
  <w:footnote w:type="continuationSeparator" w:id="0">
    <w:p w:rsidR="006D6945" w:rsidRDefault="006D6945" w:rsidP="00F2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EB" w:rsidRDefault="0090132F">
    <w:pPr>
      <w:pStyle w:val="Header"/>
    </w:pPr>
    <w:r>
      <w:rPr>
        <w:noProof/>
      </w:rPr>
      <w:drawing>
        <wp:anchor distT="0" distB="0" distL="114300" distR="114300" simplePos="0" relativeHeight="251676672" behindDoc="1" locked="0" layoutInCell="1" allowOverlap="1">
          <wp:simplePos x="0" y="0"/>
          <wp:positionH relativeFrom="column">
            <wp:posOffset>-914400</wp:posOffset>
          </wp:positionH>
          <wp:positionV relativeFrom="paragraph">
            <wp:posOffset>-457200</wp:posOffset>
          </wp:positionV>
          <wp:extent cx="7772189" cy="10058400"/>
          <wp:effectExtent l="0" t="0" r="0" b="0"/>
          <wp:wrapNone/>
          <wp:docPr id="2" name="Picture 2" title="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 Header -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89"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E" w:rsidRDefault="00CA073E">
    <w:pPr>
      <w:pStyle w:val="Header"/>
    </w:pPr>
    <w:r>
      <w:rPr>
        <w:noProof/>
      </w:rPr>
      <w:drawing>
        <wp:anchor distT="0" distB="0" distL="114300" distR="114300" simplePos="0" relativeHeight="251678720" behindDoc="0" locked="0" layoutInCell="1" allowOverlap="1">
          <wp:simplePos x="0" y="0"/>
          <wp:positionH relativeFrom="column">
            <wp:posOffset>-914400</wp:posOffset>
          </wp:positionH>
          <wp:positionV relativeFrom="paragraph">
            <wp:posOffset>-426197</wp:posOffset>
          </wp:positionV>
          <wp:extent cx="7777480" cy="1828800"/>
          <wp:effectExtent l="0" t="0" r="0" b="0"/>
          <wp:wrapSquare wrapText="bothSides"/>
          <wp:docPr id="4" name="Picture 4" title="TTC address: 1900 Yonge Street, Toronto, Ontario, M4Z 1Z2 Telephone number: 41639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TTC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48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19" w:rsidRDefault="00431BD0">
    <w:pPr>
      <w:pStyle w:val="Header"/>
    </w:pPr>
    <w:r>
      <w:rPr>
        <w:noProof/>
      </w:rPr>
      <w:drawing>
        <wp:anchor distT="0" distB="0" distL="114300" distR="114300" simplePos="0" relativeHeight="251677696" behindDoc="0" locked="0" layoutInCell="1" allowOverlap="1">
          <wp:simplePos x="0" y="0"/>
          <wp:positionH relativeFrom="column">
            <wp:posOffset>-914400</wp:posOffset>
          </wp:positionH>
          <wp:positionV relativeFrom="paragraph">
            <wp:posOffset>-457200</wp:posOffset>
          </wp:positionV>
          <wp:extent cx="7772651" cy="10058400"/>
          <wp:effectExtent l="0" t="0" r="0" b="0"/>
          <wp:wrapNone/>
          <wp:docPr id="3" name="Picture 3" title="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er -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51"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E32"/>
    <w:multiLevelType w:val="hybridMultilevel"/>
    <w:tmpl w:val="BE5456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F35777"/>
    <w:multiLevelType w:val="hybridMultilevel"/>
    <w:tmpl w:val="799AA7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021B66"/>
    <w:multiLevelType w:val="hybridMultilevel"/>
    <w:tmpl w:val="C7D2747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45"/>
    <w:rsid w:val="00001471"/>
    <w:rsid w:val="000134E0"/>
    <w:rsid w:val="000962A7"/>
    <w:rsid w:val="000A547F"/>
    <w:rsid w:val="001827BC"/>
    <w:rsid w:val="002113A1"/>
    <w:rsid w:val="00286BD9"/>
    <w:rsid w:val="002E5CEB"/>
    <w:rsid w:val="00327534"/>
    <w:rsid w:val="0039653E"/>
    <w:rsid w:val="003F1291"/>
    <w:rsid w:val="00431BD0"/>
    <w:rsid w:val="00466951"/>
    <w:rsid w:val="004F422C"/>
    <w:rsid w:val="00604F26"/>
    <w:rsid w:val="0067166A"/>
    <w:rsid w:val="006A3F93"/>
    <w:rsid w:val="006C19AB"/>
    <w:rsid w:val="006D6945"/>
    <w:rsid w:val="00804013"/>
    <w:rsid w:val="0082027E"/>
    <w:rsid w:val="008F0E9A"/>
    <w:rsid w:val="0090132F"/>
    <w:rsid w:val="00921062"/>
    <w:rsid w:val="00925084"/>
    <w:rsid w:val="00950218"/>
    <w:rsid w:val="009E445A"/>
    <w:rsid w:val="00A36B21"/>
    <w:rsid w:val="00AA3866"/>
    <w:rsid w:val="00AE17C8"/>
    <w:rsid w:val="00B260AC"/>
    <w:rsid w:val="00B31843"/>
    <w:rsid w:val="00C02AF7"/>
    <w:rsid w:val="00CA073E"/>
    <w:rsid w:val="00D41D8D"/>
    <w:rsid w:val="00DF161D"/>
    <w:rsid w:val="00E247A5"/>
    <w:rsid w:val="00E34FE2"/>
    <w:rsid w:val="00E360E6"/>
    <w:rsid w:val="00EA2543"/>
    <w:rsid w:val="00EB156F"/>
    <w:rsid w:val="00F26119"/>
    <w:rsid w:val="00FC2535"/>
    <w:rsid w:val="00FE4863"/>
    <w:rsid w:val="00FF7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2A1D"/>
  <w15:docId w15:val="{90F5A0BF-84C3-469B-8018-A888B0EE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6945"/>
    <w:pPr>
      <w:widowControl/>
      <w:spacing w:after="200" w:line="276" w:lineRule="auto"/>
    </w:pPr>
    <w:rPr>
      <w:rFonts w:ascii="Calibri" w:eastAsia="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6951"/>
    <w:rPr>
      <w:rFonts w:ascii="Tahoma" w:hAnsi="Tahoma" w:cs="Tahoma"/>
      <w:sz w:val="16"/>
      <w:szCs w:val="16"/>
    </w:rPr>
  </w:style>
  <w:style w:type="character" w:customStyle="1" w:styleId="BalloonTextChar">
    <w:name w:val="Balloon Text Char"/>
    <w:basedOn w:val="DefaultParagraphFont"/>
    <w:link w:val="BalloonText"/>
    <w:uiPriority w:val="99"/>
    <w:semiHidden/>
    <w:rsid w:val="00466951"/>
    <w:rPr>
      <w:rFonts w:ascii="Tahoma" w:eastAsia="Arial" w:hAnsi="Tahoma" w:cs="Tahoma"/>
      <w:sz w:val="16"/>
      <w:szCs w:val="16"/>
    </w:rPr>
  </w:style>
  <w:style w:type="paragraph" w:styleId="Header">
    <w:name w:val="header"/>
    <w:basedOn w:val="Normal"/>
    <w:link w:val="HeaderChar"/>
    <w:uiPriority w:val="99"/>
    <w:unhideWhenUsed/>
    <w:rsid w:val="00F26119"/>
    <w:pPr>
      <w:tabs>
        <w:tab w:val="center" w:pos="4680"/>
        <w:tab w:val="right" w:pos="9360"/>
      </w:tabs>
    </w:pPr>
  </w:style>
  <w:style w:type="character" w:customStyle="1" w:styleId="HeaderChar">
    <w:name w:val="Header Char"/>
    <w:basedOn w:val="DefaultParagraphFont"/>
    <w:link w:val="Header"/>
    <w:uiPriority w:val="99"/>
    <w:rsid w:val="00F26119"/>
    <w:rPr>
      <w:rFonts w:ascii="Arial" w:eastAsia="Arial" w:hAnsi="Arial" w:cs="Arial"/>
    </w:rPr>
  </w:style>
  <w:style w:type="paragraph" w:styleId="Footer">
    <w:name w:val="footer"/>
    <w:basedOn w:val="Normal"/>
    <w:link w:val="FooterChar"/>
    <w:uiPriority w:val="99"/>
    <w:unhideWhenUsed/>
    <w:rsid w:val="00F26119"/>
    <w:pPr>
      <w:tabs>
        <w:tab w:val="center" w:pos="4680"/>
        <w:tab w:val="right" w:pos="9360"/>
      </w:tabs>
    </w:pPr>
  </w:style>
  <w:style w:type="character" w:customStyle="1" w:styleId="FooterChar">
    <w:name w:val="Footer Char"/>
    <w:basedOn w:val="DefaultParagraphFont"/>
    <w:link w:val="Footer"/>
    <w:uiPriority w:val="99"/>
    <w:rsid w:val="00F26119"/>
    <w:rPr>
      <w:rFonts w:ascii="Arial" w:eastAsia="Arial" w:hAnsi="Arial" w:cs="Arial"/>
    </w:rPr>
  </w:style>
  <w:style w:type="character" w:styleId="Hyperlink">
    <w:name w:val="Hyperlink"/>
    <w:basedOn w:val="DefaultParagraphFont"/>
    <w:uiPriority w:val="99"/>
    <w:semiHidden/>
    <w:unhideWhenUsed/>
    <w:rsid w:val="006D6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4030">
      <w:bodyDiv w:val="1"/>
      <w:marLeft w:val="0"/>
      <w:marRight w:val="0"/>
      <w:marTop w:val="0"/>
      <w:marBottom w:val="0"/>
      <w:divBdr>
        <w:top w:val="none" w:sz="0" w:space="0" w:color="auto"/>
        <w:left w:val="none" w:sz="0" w:space="0" w:color="auto"/>
        <w:bottom w:val="none" w:sz="0" w:space="0" w:color="auto"/>
        <w:right w:val="none" w:sz="0" w:space="0" w:color="auto"/>
      </w:divBdr>
    </w:div>
    <w:div w:id="100821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tc.ca/Fares-and-passes/Fare-information/Post-Secondary-Students-Seniors-Youths-and-Child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tion.int.ttc.ca\ttc\homedrive\kovcjak\desktop\Corporate%20Letterhead_2023-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BC46-F5C8-45DD-B07A-FAA73FE2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Letterhead_2023-08-14</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Toronto Transit Commission</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Ovcjak, Kristina</dc:creator>
  <cp:keywords>letterhead</cp:keywords>
  <cp:lastModifiedBy>Ovcjak, Kristina</cp:lastModifiedBy>
  <cp:revision>1</cp:revision>
  <cp:lastPrinted>2019-01-24T17:06:00Z</cp:lastPrinted>
  <dcterms:created xsi:type="dcterms:W3CDTF">2023-08-30T18:00:00Z</dcterms:created>
  <dcterms:modified xsi:type="dcterms:W3CDTF">2023-08-30T18:02:00Z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Adobe InDesign CC 2015 (Windows)</vt:lpwstr>
  </property>
  <property fmtid="{D5CDD505-2E9C-101B-9397-08002B2CF9AE}" pid="4" name="LastSaved">
    <vt:filetime>2017-04-24T00:00:00Z</vt:filetime>
  </property>
</Properties>
</file>