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bidi w:val="1"/>
        <w:spacing w:before="2" w:line="110" w:lineRule="auto"/>
        <w:rPr>
          <w:sz w:val="11"/>
          <w:szCs w:val="11"/>
        </w:rPr>
      </w:pPr>
      <w:r w:rsidDel="00000000" w:rsidR="00000000" w:rsidRPr="00000000">
        <w:rPr>
          <w:sz w:val="11"/>
          <w:szCs w:val="1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-49352</wp:posOffset>
            </wp:positionH>
            <wp:positionV relativeFrom="page">
              <wp:posOffset>-47624</wp:posOffset>
            </wp:positionV>
            <wp:extent cx="7805878" cy="10107366"/>
            <wp:effectExtent b="0" l="0" r="0" t="0"/>
            <wp:wrapNone/>
            <wp:docPr descr="Children learning in school" id="9" name="image9.jpg"/>
            <a:graphic>
              <a:graphicData uri="http://schemas.openxmlformats.org/drawingml/2006/picture">
                <pic:pic>
                  <pic:nvPicPr>
                    <pic:cNvPr descr="Children learning in school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5878" cy="101073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5511" w:right="108" w:firstLine="1.0000000000002274"/>
        <w:jc w:val="center"/>
        <w:rPr>
          <w:rFonts w:ascii="Arial" w:cs="Arial" w:eastAsia="Arial" w:hAnsi="Arial"/>
          <w:color w:val="ffffff"/>
          <w:sz w:val="78"/>
          <w:szCs w:val="78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راهنمای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والدین</w:t>
      </w:r>
    </w:p>
    <w:p w:rsidR="00000000" w:rsidDel="00000000" w:rsidP="00000000" w:rsidRDefault="00000000" w:rsidRPr="00000000" w14:paraId="00000010">
      <w:pPr>
        <w:bidi w:val="1"/>
        <w:ind w:left="5511" w:right="108" w:firstLine="1.0000000000002274"/>
        <w:jc w:val="center"/>
        <w:rPr>
          <w:rFonts w:ascii="Arial" w:cs="Arial" w:eastAsia="Arial" w:hAnsi="Arial"/>
          <w:color w:val="ffffff"/>
          <w:sz w:val="78"/>
          <w:szCs w:val="78"/>
        </w:rPr>
      </w:pP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سرپرستان</w:t>
      </w:r>
    </w:p>
    <w:p w:rsidR="00000000" w:rsidDel="00000000" w:rsidP="00000000" w:rsidRDefault="00000000" w:rsidRPr="00000000" w14:paraId="00000011">
      <w:pPr>
        <w:bidi w:val="1"/>
        <w:ind w:left="5511" w:right="108" w:firstLine="1.0000000000002274"/>
        <w:jc w:val="center"/>
        <w:rPr>
          <w:rFonts w:ascii="Arial" w:cs="Arial" w:eastAsia="Arial" w:hAnsi="Arial"/>
          <w:b w:val="1"/>
          <w:i w:val="1"/>
          <w:color w:val="ffffff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5511" w:right="108" w:firstLine="1.0000000000002274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0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ind w:left="1501" w:firstLine="0"/>
        <w:jc w:val="right"/>
        <w:rPr>
          <w:rFonts w:ascii="Arial" w:cs="Arial" w:eastAsia="Arial" w:hAnsi="Arial"/>
          <w:sz w:val="36"/>
          <w:szCs w:val="36"/>
        </w:rPr>
        <w:sectPr>
          <w:pgSz w:h="15840" w:w="12240" w:orient="portrait"/>
          <w:pgMar w:bottom="0" w:top="1480" w:left="460" w:right="1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روزرسانی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آگوست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9" w:line="170" w:lineRule="auto"/>
        <w:rPr>
          <w:sz w:val="17"/>
          <w:szCs w:val="17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4119880</wp:posOffset>
                </wp:positionH>
                <wp:positionV relativeFrom="page">
                  <wp:posOffset>0</wp:posOffset>
                </wp:positionV>
                <wp:extent cx="3429000" cy="357187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31500" y="2148685"/>
                          <a:ext cx="3429000" cy="3571875"/>
                          <a:chOff x="3631500" y="2148685"/>
                          <a:chExt cx="3429000" cy="3262630"/>
                        </a:xfrm>
                      </wpg:grpSpPr>
                      <wpg:grpSp>
                        <wpg:cNvGrpSpPr/>
                        <wpg:grpSpPr>
                          <a:xfrm>
                            <a:off x="3631500" y="2148685"/>
                            <a:ext cx="3429000" cy="3262630"/>
                            <a:chOff x="0" y="0"/>
                            <a:chExt cx="3429000" cy="32626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29000" cy="326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429000" cy="3262630"/>
                            </a:xfrm>
                            <a:custGeom>
                              <a:rect b="b" l="l" r="r" t="t"/>
                              <a:pathLst>
                                <a:path extrusionOk="0" h="3262630" w="3429000">
                                  <a:moveTo>
                                    <a:pt x="0" y="3262630"/>
                                  </a:moveTo>
                                  <a:lnTo>
                                    <a:pt x="3429000" y="3262630"/>
                                  </a:lnTo>
                                  <a:lnTo>
                                    <a:pt x="342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2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4119880</wp:posOffset>
                </wp:positionH>
                <wp:positionV relativeFrom="page">
                  <wp:posOffset>0</wp:posOffset>
                </wp:positionV>
                <wp:extent cx="3429000" cy="3571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357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bidi w:val="1"/>
        <w:spacing w:line="240" w:lineRule="auto"/>
        <w:ind w:firstLine="408"/>
        <w:rPr>
          <w:b w:val="0"/>
        </w:rPr>
      </w:pPr>
      <w:r w:rsidDel="00000000" w:rsidR="00000000" w:rsidRPr="00000000">
        <w:rPr>
          <w:color w:val="ffffff"/>
          <w:rtl w:val="1"/>
        </w:rPr>
        <w:t xml:space="preserve">راهنمای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before="22" w:lineRule="auto"/>
        <w:ind w:left="408" w:right="31" w:firstLine="0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سرپرستان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bidi w:val="1"/>
        <w:ind w:firstLine="120"/>
        <w:rPr>
          <w:color w:val="5d5d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bidi w:val="1"/>
        <w:ind w:firstLine="120"/>
        <w:rPr>
          <w:color w:val="5d5d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bidi w:val="1"/>
        <w:ind w:firstLine="120"/>
        <w:rPr>
          <w:color w:val="5d5d5d"/>
        </w:rPr>
      </w:pPr>
      <w:r w:rsidDel="00000000" w:rsidR="00000000" w:rsidRPr="00000000">
        <w:rPr>
          <w:color w:val="5d5d5d"/>
          <w:rtl w:val="1"/>
        </w:rPr>
        <w:t xml:space="preserve">مراکز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یادگیری</w:t>
      </w:r>
    </w:p>
    <w:p w:rsidR="00000000" w:rsidDel="00000000" w:rsidP="00000000" w:rsidRDefault="00000000" w:rsidRPr="00000000" w14:paraId="0000003C">
      <w:pPr>
        <w:pStyle w:val="Heading2"/>
        <w:bidi w:val="1"/>
        <w:ind w:firstLine="12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bidi w:val="1"/>
        <w:spacing w:before="51" w:line="250" w:lineRule="auto"/>
        <w:ind w:firstLine="120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3962ab"/>
          <w:rtl w:val="1"/>
        </w:rPr>
        <w:t xml:space="preserve">طرح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آموزش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ویژه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TDSB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اساس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اصول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زیر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نیز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هدایت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شود</w:t>
      </w:r>
      <w:r w:rsidDel="00000000" w:rsidR="00000000" w:rsidRPr="00000000">
        <w:rPr>
          <w:color w:val="3962ab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85" w:line="246" w:lineRule="auto"/>
        <w:ind w:left="459" w:right="44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توأم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32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45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ببرند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39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استقبالگر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دلگرم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250" w:lineRule="auto"/>
        <w:ind w:left="163" w:right="203" w:hanging="1.000000000000014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معتقدیم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معنادار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ذینفعان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موفقیت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4"/>
        <w:bidi w:val="1"/>
        <w:ind w:left="304" w:right="247" w:firstLine="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برای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دریافت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نسخه</w:t>
      </w:r>
      <w:r w:rsidDel="00000000" w:rsidR="00000000" w:rsidRPr="00000000">
        <w:rPr>
          <w:color w:val="020302"/>
          <w:rtl w:val="1"/>
        </w:rPr>
        <w:t xml:space="preserve">‌</w:t>
      </w:r>
      <w:r w:rsidDel="00000000" w:rsidR="00000000" w:rsidRPr="00000000">
        <w:rPr>
          <w:color w:val="020302"/>
          <w:rtl w:val="1"/>
        </w:rPr>
        <w:t xml:space="preserve">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از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طرح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آموزش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ویژه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امسال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به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این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آدرس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مراجعه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کنید</w:t>
      </w:r>
      <w:r w:rsidDel="00000000" w:rsidR="00000000" w:rsidRPr="00000000">
        <w:rPr>
          <w:color w:val="02030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before="11" w:lineRule="auto"/>
        <w:ind w:right="39"/>
        <w:jc w:val="center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205e9e"/>
            <w:u w:val="single"/>
            <w:rtl w:val="0"/>
          </w:rPr>
          <w:t xml:space="preserve">www.tdsb.on.ca/specialeducation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5"/>
        <w:bidi w:val="1"/>
        <w:ind w:right="39"/>
        <w:jc w:val="center"/>
        <w:rPr>
          <w:b w:val="0"/>
          <w:i w:val="0"/>
        </w:rPr>
        <w:sectPr>
          <w:footerReference r:id="rId10" w:type="default"/>
          <w:type w:val="nextPage"/>
          <w:pgSz w:h="15840" w:w="12240" w:orient="portrait"/>
          <w:pgMar w:bottom="780" w:top="440" w:left="420" w:right="380" w:header="0" w:footer="585"/>
          <w:pgNumType w:start="2"/>
          <w:cols w:equalWidth="0" w:num="2">
            <w:col w:space="521" w:w="5459.5"/>
            <w:col w:space="0" w:w="5459.5"/>
          </w:cols>
          <w:bidi w:val="1"/>
        </w:sectPr>
      </w:pPr>
      <w:r w:rsidDel="00000000" w:rsidR="00000000" w:rsidRPr="00000000">
        <w:rPr>
          <w:color w:val="231f20"/>
          <w:rtl w:val="1"/>
        </w:rPr>
        <w:t xml:space="preserve">این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راهنمای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آموزش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ویژه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برای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والدین</w:t>
      </w:r>
      <w:r w:rsidDel="00000000" w:rsidR="00000000" w:rsidRPr="00000000">
        <w:rPr>
          <w:color w:val="231f20"/>
          <w:rtl w:val="1"/>
        </w:rPr>
        <w:t xml:space="preserve">/</w:t>
      </w:r>
      <w:r w:rsidDel="00000000" w:rsidR="00000000" w:rsidRPr="00000000">
        <w:rPr>
          <w:color w:val="231f20"/>
          <w:rtl w:val="1"/>
        </w:rPr>
        <w:t xml:space="preserve">سرپرستان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before="90" w:lineRule="auto"/>
        <w:ind w:left="7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50" w:lineRule="auto"/>
        <w:ind w:left="491" w:right="4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140 Borough Drive, Scarborough, Ontario M1P 4N6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(416)396-7968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5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bidi w:val="1"/>
        <w:ind w:firstLine="120"/>
        <w:jc w:val="center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مأموریت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0"/>
        </w:rPr>
        <w:t xml:space="preserve">TDSB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before="87" w:line="250" w:lineRule="auto"/>
        <w:ind w:left="120" w:firstLine="0"/>
        <w:jc w:val="center"/>
        <w:rPr>
          <w:rFonts w:ascii="Arial" w:cs="Arial" w:eastAsia="Arial" w:hAnsi="Arial"/>
          <w:b w:val="1"/>
          <w:color w:val="525252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4:</w:t>
      </w:r>
    </w:p>
    <w:p w:rsidR="00000000" w:rsidDel="00000000" w:rsidP="00000000" w:rsidRDefault="00000000" w:rsidRPr="00000000" w14:paraId="00000052">
      <w:pPr>
        <w:bidi w:val="1"/>
        <w:spacing w:before="87" w:line="250" w:lineRule="auto"/>
        <w:ind w:left="1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525252"/>
          <w:rtl w:val="0"/>
        </w:rPr>
        <w:t xml:space="preserve">1 Civic Centre Court, Etobicoke, Ontario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382" w:right="46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M9C 2B3 (416)394-4898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5"/>
        <w:bidi w:val="1"/>
        <w:spacing w:before="11" w:line="250" w:lineRule="auto"/>
        <w:ind w:left="120" w:right="159" w:firstLine="0"/>
        <w:jc w:val="both"/>
        <w:rPr>
          <w:b w:val="0"/>
          <w:i w:val="0"/>
        </w:rPr>
      </w:pPr>
      <w:r w:rsidDel="00000000" w:rsidR="00000000" w:rsidRPr="00000000">
        <w:br w:type="column"/>
      </w:r>
      <w:r w:rsidDel="00000000" w:rsidR="00000000" w:rsidRPr="00000000">
        <w:rPr>
          <w:rtl w:val="1"/>
        </w:rPr>
        <w:t xml:space="preserve">اطلاعاتی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آموزان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آموزشی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هیئت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تورنتو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TDSB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رویه</w:t>
      </w:r>
      <w:r w:rsidDel="00000000" w:rsidR="00000000" w:rsidRPr="00000000">
        <w:rPr>
          <w:color w:val="231f20"/>
          <w:rtl w:val="1"/>
        </w:rPr>
        <w:t xml:space="preserve">‌</w:t>
      </w:r>
      <w:r w:rsidDel="00000000" w:rsidR="00000000" w:rsidRPr="00000000">
        <w:rPr>
          <w:color w:val="231f20"/>
          <w:rtl w:val="1"/>
        </w:rPr>
        <w:t xml:space="preserve">های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کمیته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شناسایی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استقرار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بازنگری</w:t>
      </w:r>
      <w:r w:rsidDel="00000000" w:rsidR="00000000" w:rsidRPr="00000000">
        <w:rPr>
          <w:color w:val="231f20"/>
          <w:rtl w:val="1"/>
        </w:rPr>
        <w:t xml:space="preserve"> (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) </w:t>
      </w:r>
      <w:r w:rsidDel="00000000" w:rsidR="00000000" w:rsidRPr="00000000">
        <w:rPr>
          <w:color w:val="231f20"/>
          <w:rtl w:val="1"/>
        </w:rPr>
        <w:t xml:space="preserve">مربوط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شناسایی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دانش</w:t>
      </w:r>
      <w:r w:rsidDel="00000000" w:rsidR="00000000" w:rsidRPr="00000000">
        <w:rPr>
          <w:color w:val="231f20"/>
          <w:rtl w:val="1"/>
        </w:rPr>
        <w:t xml:space="preserve">‌</w:t>
      </w:r>
      <w:r w:rsidDel="00000000" w:rsidR="00000000" w:rsidRPr="00000000">
        <w:rPr>
          <w:color w:val="231f20"/>
          <w:rtl w:val="1"/>
        </w:rPr>
        <w:t xml:space="preserve">آموزان</w:t>
      </w:r>
      <w:r w:rsidDel="00000000" w:rsidR="00000000" w:rsidRPr="00000000">
        <w:rPr>
          <w:color w:val="231f20"/>
          <w:rtl w:val="1"/>
        </w:rPr>
        <w:t xml:space="preserve"> "</w:t>
      </w:r>
      <w:r w:rsidDel="00000000" w:rsidR="00000000" w:rsidRPr="00000000">
        <w:rPr>
          <w:color w:val="231f20"/>
          <w:rtl w:val="1"/>
        </w:rPr>
        <w:t xml:space="preserve">استثنایی</w:t>
      </w:r>
      <w:r w:rsidDel="00000000" w:rsidR="00000000" w:rsidRPr="00000000">
        <w:rPr>
          <w:color w:val="231f20"/>
          <w:rtl w:val="1"/>
        </w:rPr>
        <w:t xml:space="preserve">" </w:t>
      </w:r>
      <w:r w:rsidDel="00000000" w:rsidR="00000000" w:rsidRPr="00000000">
        <w:rPr>
          <w:color w:val="231f20"/>
          <w:rtl w:val="1"/>
        </w:rPr>
        <w:t xml:space="preserve">را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تعیین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کرده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تصمیم</w:t>
      </w:r>
      <w:r w:rsidDel="00000000" w:rsidR="00000000" w:rsidRPr="00000000">
        <w:rPr>
          <w:color w:val="231f20"/>
          <w:rtl w:val="1"/>
        </w:rPr>
        <w:t xml:space="preserve">‌</w:t>
      </w:r>
      <w:r w:rsidDel="00000000" w:rsidR="00000000" w:rsidRPr="00000000">
        <w:rPr>
          <w:color w:val="231f20"/>
          <w:rtl w:val="1"/>
        </w:rPr>
        <w:t xml:space="preserve">گیری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درخصوص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استقرار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برنامه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درخواست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تجدید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نظر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مورد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چنین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تصمیماتی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صورت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عدم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موافقت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والدین</w:t>
      </w:r>
      <w:r w:rsidDel="00000000" w:rsidR="00000000" w:rsidRPr="00000000">
        <w:rPr>
          <w:color w:val="231f20"/>
          <w:rtl w:val="1"/>
        </w:rPr>
        <w:t xml:space="preserve">* </w:t>
      </w:r>
      <w:r w:rsidDel="00000000" w:rsidR="00000000" w:rsidRPr="00000000">
        <w:rPr>
          <w:color w:val="231f20"/>
          <w:rtl w:val="1"/>
        </w:rPr>
        <w:t xml:space="preserve">با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انجام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می</w:t>
      </w:r>
      <w:r w:rsidDel="00000000" w:rsidR="00000000" w:rsidRPr="00000000">
        <w:rPr>
          <w:color w:val="231f20"/>
          <w:rtl w:val="1"/>
        </w:rPr>
        <w:t xml:space="preserve">‌</w:t>
      </w:r>
      <w:r w:rsidDel="00000000" w:rsidR="00000000" w:rsidRPr="00000000">
        <w:rPr>
          <w:color w:val="231f20"/>
          <w:rtl w:val="1"/>
        </w:rPr>
        <w:t xml:space="preserve">دهد</w:t>
      </w:r>
      <w:r w:rsidDel="00000000" w:rsidR="00000000" w:rsidRPr="00000000">
        <w:rPr>
          <w:color w:val="231f2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color w:val="231f20"/>
          <w:rtl w:val="1"/>
        </w:rPr>
        <w:t xml:space="preserve"> (*</w:t>
      </w:r>
      <w:r w:rsidDel="00000000" w:rsidR="00000000" w:rsidRPr="00000000">
        <w:rPr>
          <w:b w:val="0"/>
          <w:color w:val="231f20"/>
          <w:rtl w:val="1"/>
        </w:rPr>
        <w:t xml:space="preserve">در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کل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این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راهنما</w:t>
      </w:r>
      <w:r w:rsidDel="00000000" w:rsidR="00000000" w:rsidRPr="00000000">
        <w:rPr>
          <w:b w:val="0"/>
          <w:color w:val="231f20"/>
          <w:rtl w:val="1"/>
        </w:rPr>
        <w:t xml:space="preserve">، </w:t>
      </w:r>
      <w:r w:rsidDel="00000000" w:rsidR="00000000" w:rsidRPr="00000000">
        <w:rPr>
          <w:b w:val="0"/>
          <w:color w:val="231f20"/>
          <w:rtl w:val="1"/>
        </w:rPr>
        <w:t xml:space="preserve">کلمه</w:t>
      </w:r>
      <w:r w:rsidDel="00000000" w:rsidR="00000000" w:rsidRPr="00000000">
        <w:rPr>
          <w:b w:val="0"/>
          <w:color w:val="231f20"/>
          <w:rtl w:val="1"/>
        </w:rPr>
        <w:t xml:space="preserve"> "</w:t>
      </w:r>
      <w:r w:rsidDel="00000000" w:rsidR="00000000" w:rsidRPr="00000000">
        <w:rPr>
          <w:b w:val="0"/>
          <w:color w:val="231f20"/>
          <w:rtl w:val="1"/>
        </w:rPr>
        <w:t xml:space="preserve">والدین</w:t>
      </w:r>
      <w:r w:rsidDel="00000000" w:rsidR="00000000" w:rsidRPr="00000000">
        <w:rPr>
          <w:b w:val="0"/>
          <w:color w:val="231f20"/>
          <w:rtl w:val="1"/>
        </w:rPr>
        <w:t xml:space="preserve">" </w:t>
      </w:r>
      <w:r w:rsidDel="00000000" w:rsidR="00000000" w:rsidRPr="00000000">
        <w:rPr>
          <w:b w:val="0"/>
          <w:color w:val="231f20"/>
          <w:rtl w:val="1"/>
        </w:rPr>
        <w:t xml:space="preserve">شامل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سرپرستان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نیز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می</w:t>
      </w:r>
      <w:r w:rsidDel="00000000" w:rsidR="00000000" w:rsidRPr="00000000">
        <w:rPr>
          <w:b w:val="0"/>
          <w:color w:val="231f20"/>
          <w:rtl w:val="1"/>
        </w:rPr>
        <w:t xml:space="preserve">‌</w:t>
      </w:r>
      <w:r w:rsidDel="00000000" w:rsidR="00000000" w:rsidRPr="00000000">
        <w:rPr>
          <w:b w:val="0"/>
          <w:color w:val="231f20"/>
          <w:rtl w:val="1"/>
        </w:rPr>
        <w:t xml:space="preserve">شود</w:t>
      </w:r>
      <w:r w:rsidDel="00000000" w:rsidR="00000000" w:rsidRPr="00000000">
        <w:rPr>
          <w:b w:val="0"/>
          <w:color w:val="231f20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20" w:right="380" w:header="720" w:footer="720"/>
          <w:cols w:equalWidth="0" w:num="3">
            <w:col w:space="161" w:w="3705.9999999999995"/>
            <w:col w:space="161" w:w="3705.9999999999995"/>
            <w:col w:space="0" w:w="3705.999999999999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نقطه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" w:line="25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" w:line="25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مأموریت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پایبند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9">
      <w:pPr>
        <w:spacing w:before="10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176905" cy="33032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4248" y="2128365"/>
                          <a:ext cx="3176905" cy="3303270"/>
                          <a:chOff x="4024248" y="2128365"/>
                          <a:chExt cx="3176905" cy="3303270"/>
                        </a:xfrm>
                      </wpg:grpSpPr>
                      <wpg:grpSp>
                        <wpg:cNvGrpSpPr/>
                        <wpg:grpSpPr>
                          <a:xfrm>
                            <a:off x="4024248" y="2128365"/>
                            <a:ext cx="3176905" cy="3303270"/>
                            <a:chOff x="0" y="0"/>
                            <a:chExt cx="3176905" cy="3303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76900" cy="33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3176905" cy="3303270"/>
                            </a:xfrm>
                            <a:custGeom>
                              <a:rect b="b" l="l" r="r" t="t"/>
                              <a:pathLst>
                                <a:path extrusionOk="0" h="3303270" w="3176905">
                                  <a:moveTo>
                                    <a:pt x="0" y="3303270"/>
                                  </a:moveTo>
                                  <a:lnTo>
                                    <a:pt x="3176270" y="3303270"/>
                                  </a:lnTo>
                                  <a:lnTo>
                                    <a:pt x="3176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3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176905" cy="33032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330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38" w:lineRule="auto"/>
        <w:ind w:left="521" w:right="4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مأموریت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سازیم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بالایی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دستاوردها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برسند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مسئولیت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دموکراتیک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ind w:left="521" w:right="2430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54" w:line="240" w:lineRule="auto"/>
        <w:ind w:left="861" w:right="0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40" w:lineRule="auto"/>
        <w:ind w:left="861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نیرومند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50" w:lineRule="auto"/>
        <w:ind w:left="861" w:right="939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50" w:lineRule="auto"/>
        <w:ind w:left="861" w:right="139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منحصر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40" w:lineRule="auto"/>
        <w:ind w:left="861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50" w:lineRule="auto"/>
        <w:ind w:left="861" w:right="1242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نوآوری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پاسخگویی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50" w:lineRule="auto"/>
        <w:ind w:left="861" w:right="132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ایمن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آمیز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سؤالات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آشنایی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6" w:line="140" w:lineRule="auto"/>
        <w:rPr>
          <w:sz w:val="14"/>
          <w:szCs w:val="1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6215380</wp:posOffset>
                </wp:positionV>
                <wp:extent cx="3771900" cy="78168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389158"/>
                          <a:ext cx="3771900" cy="781685"/>
                          <a:chOff x="3460050" y="3389158"/>
                          <a:chExt cx="3771900" cy="781685"/>
                        </a:xfrm>
                      </wpg:grpSpPr>
                      <wpg:grpSp>
                        <wpg:cNvGrpSpPr/>
                        <wpg:grpSpPr>
                          <a:xfrm>
                            <a:off x="3460050" y="3389158"/>
                            <a:ext cx="3771900" cy="781685"/>
                            <a:chOff x="0" y="0"/>
                            <a:chExt cx="3771900" cy="7816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78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3771900" cy="781685"/>
                            </a:xfrm>
                            <a:custGeom>
                              <a:rect b="b" l="l" r="r" t="t"/>
                              <a:pathLst>
                                <a:path extrusionOk="0" h="781685" w="3771900">
                                  <a:moveTo>
                                    <a:pt x="0" y="782320"/>
                                  </a:moveTo>
                                  <a:lnTo>
                                    <a:pt x="3771900" y="782320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6215380</wp:posOffset>
                </wp:positionV>
                <wp:extent cx="3771900" cy="7816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781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bidi w:val="1"/>
        <w:ind w:left="1855" w:hanging="1098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چشم</w:t>
      </w:r>
      <w:r w:rsidDel="00000000" w:rsidR="00000000" w:rsidRPr="00000000">
        <w:rPr>
          <w:color w:val="5d5d5d"/>
          <w:rtl w:val="1"/>
        </w:rPr>
        <w:t xml:space="preserve">‌</w:t>
      </w:r>
      <w:r w:rsidDel="00000000" w:rsidR="00000000" w:rsidRPr="00000000">
        <w:rPr>
          <w:color w:val="5d5d5d"/>
          <w:rtl w:val="1"/>
        </w:rPr>
        <w:t xml:space="preserve">انداز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0"/>
        </w:rPr>
        <w:t xml:space="preserve">TDSB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برای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آموزش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ویژه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6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گنجانده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عادلانه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فراگیرترین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بیشترین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bidi w:val="1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دانش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آموزان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دارای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نیازهای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آموزشی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ویژه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کسانی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هستند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3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20" w:right="380" w:header="720" w:footer="720"/>
          <w:cols w:equalWidth="0" w:num="2">
            <w:col w:space="240" w:w="5600"/>
            <w:col w:space="0" w:w="5600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تشخیص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متفاوتی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موفقیت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50" w:lineRule="auto"/>
        <w:ind w:left="120" w:right="13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خریداری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7" w:line="17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bidi w:val="1"/>
        <w:ind w:right="1447" w:firstLine="12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برنامه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آموزش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ویژه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5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17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مبنا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40" w:lineRule="auto"/>
        <w:ind w:left="0" w:right="15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bidi w:val="1"/>
        <w:ind w:right="1527" w:firstLine="12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خدمات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آموزش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ویژه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پرسنل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bidi w:val="1"/>
        <w:spacing w:line="250" w:lineRule="auto"/>
        <w:ind w:right="5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برنامه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ها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خدمات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آموزش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ویژه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ارائه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شده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توسط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هیئت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مدرسه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5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وضوح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ترکیبی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مؤثر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تلقی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hyperlink r:id="rId13">
        <w:r w:rsidDel="00000000" w:rsidR="00000000" w:rsidRPr="00000000">
          <w:rPr>
            <w:rtl w:val="0"/>
          </w:rPr>
        </w:r>
      </w:hyperlink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طرح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آموزش</w:t>
        </w:r>
      </w:hyperlink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ویژه</w:t>
        </w:r>
      </w:hyperlink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را</w:t>
        </w:r>
      </w:hyperlink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می</w:t>
        </w:r>
      </w:hyperlink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‌</w:t>
        </w:r>
      </w:hyperlink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توان</w:t>
        </w:r>
      </w:hyperlink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در</w:t>
        </w:r>
      </w:hyperlink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این</w:t>
        </w:r>
      </w:hyperlink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آدرس</w:t>
        </w:r>
      </w:hyperlink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مشاهده</w:t>
        </w:r>
      </w:hyperlink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کرد</w:t>
        </w:r>
      </w:hyperlink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 </w:t>
        </w:r>
      </w:hyperlink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www.tdsb.on.ca/ specialeducation</w:t>
        </w:r>
      </w:hyperlink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bidi w:val="1"/>
        <w:ind w:right="394" w:firstLine="120"/>
        <w:jc w:val="both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طرح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آموزش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فردی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3"/>
        <w:bidi w:val="1"/>
        <w:ind w:right="507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طرح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آموزش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فردی</w:t>
      </w:r>
      <w:r w:rsidDel="00000000" w:rsidR="00000000" w:rsidRPr="00000000">
        <w:rPr>
          <w:color w:val="3962ab"/>
          <w:rtl w:val="1"/>
        </w:rPr>
        <w:t xml:space="preserve"> (</w:t>
      </w:r>
      <w:r w:rsidDel="00000000" w:rsidR="00000000" w:rsidRPr="00000000">
        <w:rPr>
          <w:color w:val="3962ab"/>
          <w:rtl w:val="0"/>
        </w:rPr>
        <w:t xml:space="preserve">IEP</w:t>
      </w:r>
      <w:r w:rsidDel="00000000" w:rsidR="00000000" w:rsidRPr="00000000">
        <w:rPr>
          <w:color w:val="3962ab"/>
          <w:rtl w:val="1"/>
        </w:rPr>
        <w:t xml:space="preserve">) </w:t>
      </w:r>
      <w:r w:rsidDel="00000000" w:rsidR="00000000" w:rsidRPr="00000000">
        <w:rPr>
          <w:color w:val="3962ab"/>
          <w:rtl w:val="1"/>
        </w:rPr>
        <w:t xml:space="preserve">چیست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3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78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جایگزین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hyperlink r:id="rId39">
        <w:r w:rsidDel="00000000" w:rsidR="00000000" w:rsidRPr="00000000">
          <w:rPr>
            <w:rtl w:val="0"/>
          </w:rPr>
        </w:r>
      </w:hyperlink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مقررات</w:t>
        </w:r>
      </w:hyperlink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181/98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29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استراتژی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46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78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57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54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تکمیل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r:id="rId4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اطلاعات</w:t>
        </w:r>
      </w:hyperlink>
      <w:hyperlink r:id="rId4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بیشتر</w:t>
        </w:r>
      </w:hyperlink>
      <w:hyperlink r:id="rId4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، </w:t>
        </w:r>
      </w:hyperlink>
      <w:hyperlink r:id="rId4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نگاه</w:t>
        </w:r>
      </w:hyperlink>
      <w:hyperlink r:id="rId4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کنید</w:t>
        </w:r>
      </w:hyperlink>
      <w:hyperlink r:id="rId5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5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به</w:t>
        </w:r>
      </w:hyperlink>
      <w:hyperlink r:id="rId5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 </w:t>
        </w:r>
      </w:hyperlink>
      <w:hyperlink r:id="rId5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طرح</w:t>
        </w:r>
      </w:hyperlink>
      <w:hyperlink r:id="rId5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5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آموزشی</w:t>
        </w:r>
      </w:hyperlink>
      <w:hyperlink r:id="rId5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5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فردی</w:t>
        </w:r>
      </w:hyperlink>
      <w:hyperlink r:id="rId5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(</w:t>
        </w:r>
      </w:hyperlink>
      <w:hyperlink r:id="rId5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IEP</w:t>
        </w:r>
      </w:hyperlink>
      <w:hyperlink r:id="rId6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): </w:t>
        </w:r>
      </w:hyperlink>
      <w:hyperlink r:id="rId6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راهنمای</w:t>
        </w:r>
      </w:hyperlink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منابع</w:t>
        </w:r>
      </w:hyperlink>
      <w:hyperlink r:id="rId6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در</w:t>
        </w:r>
      </w:hyperlink>
      <w:hyperlink r:id="rId6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این</w:t>
        </w:r>
      </w:hyperlink>
      <w:hyperlink r:id="rId6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آدرس</w:t>
        </w:r>
      </w:hyperlink>
      <w:hyperlink r:id="rId7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7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موجود</w:t>
        </w:r>
      </w:hyperlink>
      <w:hyperlink r:id="rId7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7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است</w:t>
        </w:r>
      </w:hyperlink>
      <w:hyperlink r:id="rId7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: </w:t>
        </w:r>
      </w:hyperlink>
      <w:hyperlink r:id="rId7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</w:t>
        </w:r>
      </w:hyperlink>
      <w:hyperlink r:id="rId7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://</w:t>
        </w:r>
      </w:hyperlink>
      <w:hyperlink r:id="rId7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</w:t>
        </w:r>
      </w:hyperlink>
      <w:hyperlink r:id="rId7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7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edu</w:t>
        </w:r>
      </w:hyperlink>
      <w:hyperlink r:id="rId8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8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gov</w:t>
        </w:r>
      </w:hyperlink>
      <w:hyperlink r:id="rId8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8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on</w:t>
        </w:r>
      </w:hyperlink>
      <w:hyperlink r:id="rId8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8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ca</w:t>
        </w:r>
      </w:hyperlink>
      <w:hyperlink r:id="rId8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 </w:t>
        </w:r>
      </w:hyperlink>
      <w:hyperlink r:id="rId8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eng</w:t>
        </w:r>
      </w:hyperlink>
      <w:hyperlink r:id="rId8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8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general</w:t>
        </w:r>
      </w:hyperlink>
      <w:hyperlink r:id="rId9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elemsec</w:t>
        </w:r>
      </w:hyperlink>
      <w:hyperlink r:id="rId9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speced</w:t>
        </w:r>
      </w:hyperlink>
      <w:hyperlink r:id="rId9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guide</w:t>
        </w:r>
      </w:hyperlink>
      <w:hyperlink r:id="rId9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resource</w:t>
        </w:r>
      </w:hyperlink>
      <w:hyperlink r:id="rId9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bidi w:val="1"/>
        <w:spacing w:line="276" w:lineRule="auto"/>
        <w:ind w:right="597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کسی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به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عنوان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دانش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آموز</w:t>
      </w:r>
      <w:r w:rsidDel="00000000" w:rsidR="00000000" w:rsidRPr="00000000">
        <w:rPr>
          <w:color w:val="3962ab"/>
          <w:rtl w:val="1"/>
        </w:rPr>
        <w:t xml:space="preserve"> "</w:t>
      </w:r>
      <w:r w:rsidDel="00000000" w:rsidR="00000000" w:rsidRPr="00000000">
        <w:rPr>
          <w:color w:val="3962ab"/>
          <w:rtl w:val="1"/>
        </w:rPr>
        <w:t xml:space="preserve">استثنایی</w:t>
      </w:r>
      <w:r w:rsidDel="00000000" w:rsidR="00000000" w:rsidRPr="00000000">
        <w:rPr>
          <w:color w:val="3962ab"/>
          <w:rtl w:val="1"/>
        </w:rPr>
        <w:t xml:space="preserve">" </w:t>
      </w:r>
      <w:r w:rsidDel="00000000" w:rsidR="00000000" w:rsidRPr="00000000">
        <w:rPr>
          <w:color w:val="3962ab"/>
          <w:rtl w:val="1"/>
        </w:rPr>
        <w:t xml:space="preserve">شناخته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9" w:line="170" w:lineRule="auto"/>
        <w:rPr>
          <w:sz w:val="17"/>
          <w:szCs w:val="17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5080</wp:posOffset>
                </wp:positionH>
                <wp:positionV relativeFrom="page">
                  <wp:posOffset>6786244</wp:posOffset>
                </wp:positionV>
                <wp:extent cx="3771900" cy="9975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281208"/>
                          <a:ext cx="3771900" cy="997585"/>
                          <a:chOff x="3460050" y="3281208"/>
                          <a:chExt cx="3771900" cy="997585"/>
                        </a:xfrm>
                      </wpg:grpSpPr>
                      <wpg:grpSp>
                        <wpg:cNvGrpSpPr/>
                        <wpg:grpSpPr>
                          <a:xfrm>
                            <a:off x="3460050" y="3281208"/>
                            <a:ext cx="3771900" cy="997585"/>
                            <a:chOff x="0" y="0"/>
                            <a:chExt cx="3771900" cy="9975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71900" cy="997585"/>
                            </a:xfrm>
                            <a:custGeom>
                              <a:rect b="b" l="l" r="r" t="t"/>
                              <a:pathLst>
                                <a:path extrusionOk="0" h="997585" w="3771900">
                                  <a:moveTo>
                                    <a:pt x="0" y="997585"/>
                                  </a:moveTo>
                                  <a:lnTo>
                                    <a:pt x="3771900" y="997585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7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5080</wp:posOffset>
                </wp:positionH>
                <wp:positionV relativeFrom="page">
                  <wp:posOffset>6786244</wp:posOffset>
                </wp:positionV>
                <wp:extent cx="3771900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bidi w:val="1"/>
        <w:ind w:left="1008" w:right="160" w:hanging="7.999999999999972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کمیته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شناسایی</w:t>
      </w:r>
      <w:r w:rsidDel="00000000" w:rsidR="00000000" w:rsidRPr="00000000">
        <w:rPr>
          <w:color w:val="5d5d5d"/>
          <w:rtl w:val="1"/>
        </w:rPr>
        <w:t xml:space="preserve">، </w:t>
      </w:r>
      <w:r w:rsidDel="00000000" w:rsidR="00000000" w:rsidRPr="00000000">
        <w:rPr>
          <w:color w:val="5d5d5d"/>
          <w:rtl w:val="1"/>
        </w:rPr>
        <w:t xml:space="preserve">استقرار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بازنگری</w:t>
      </w:r>
      <w:r w:rsidDel="00000000" w:rsidR="00000000" w:rsidRPr="00000000">
        <w:rPr>
          <w:color w:val="5d5d5d"/>
          <w:rtl w:val="1"/>
        </w:rPr>
        <w:t xml:space="preserve"> (</w:t>
      </w:r>
      <w:r w:rsidDel="00000000" w:rsidR="00000000" w:rsidRPr="00000000">
        <w:rPr>
          <w:color w:val="5d5d5d"/>
          <w:rtl w:val="0"/>
        </w:rPr>
        <w:t xml:space="preserve">IPRC</w:t>
      </w:r>
      <w:r w:rsidDel="00000000" w:rsidR="00000000" w:rsidRPr="00000000">
        <w:rPr>
          <w:color w:val="5d5d5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5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bidi w:val="1"/>
        <w:spacing w:line="250" w:lineRule="auto"/>
        <w:ind w:right="159" w:firstLine="120"/>
        <w:jc w:val="both"/>
        <w:rPr>
          <w:color w:val="3962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3"/>
        <w:bidi w:val="1"/>
        <w:spacing w:line="250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کمیته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شناسایی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بازنگری</w:t>
      </w:r>
      <w:r w:rsidDel="00000000" w:rsidR="00000000" w:rsidRPr="00000000">
        <w:rPr>
          <w:color w:val="3962ab"/>
          <w:rtl w:val="1"/>
        </w:rPr>
        <w:t xml:space="preserve"> (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) </w:t>
      </w:r>
      <w:r w:rsidDel="00000000" w:rsidR="00000000" w:rsidRPr="00000000">
        <w:rPr>
          <w:color w:val="3962ab"/>
          <w:rtl w:val="1"/>
        </w:rPr>
        <w:t xml:space="preserve">چیست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20" w:left="420" w:right="380" w:header="0" w:footer="585"/>
          <w:cols w:equalWidth="0" w:num="2">
            <w:col w:space="233" w:w="5603.5"/>
            <w:col w:space="0" w:w="5603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مسئول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3"/>
        <w:bidi w:val="1"/>
        <w:ind w:right="2685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کاری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انجام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دهد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9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15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40" w:lineRule="auto"/>
        <w:ind w:left="0" w:right="12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40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40" w:lineRule="auto"/>
        <w:ind w:left="1111" w:right="43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غیرمستقیم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40" w:lineRule="auto"/>
        <w:ind w:left="1111" w:right="6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ادغام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جزئی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1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16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3"/>
        <w:bidi w:val="1"/>
        <w:ind w:left="119" w:right="567" w:firstLine="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چگونه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صورت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19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1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46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راهنما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اختیارتان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3"/>
        <w:bidi w:val="1"/>
        <w:ind w:right="98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توانند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شرکت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63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40" w:lineRule="auto"/>
        <w:ind w:left="0" w:right="8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هنگام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bidi w:val="1"/>
        <w:ind w:right="92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دیگری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تواند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شرکت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کند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73" w:line="276" w:lineRule="auto"/>
        <w:ind w:left="0" w:right="24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صحبت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17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منابعی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6" w:line="276" w:lineRule="auto"/>
        <w:ind w:left="0" w:right="16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مترجم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شفاهی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مترجم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شفاهی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2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اطلاعاتی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دریافت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خواهند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خلاصه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اگر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قادر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نباشند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برنامه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ریزی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شده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شرکت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افتد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بگیرید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18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مسائلی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3"/>
        <w:bidi w:val="1"/>
        <w:spacing w:line="276" w:lineRule="auto"/>
        <w:ind w:right="154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افتد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7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21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5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76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76" w:lineRule="auto"/>
        <w:ind w:left="940" w:right="19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مفاد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1996،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شناختی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پزشک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احساس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صحیح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9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73" w:line="264" w:lineRule="auto"/>
        <w:ind w:left="940" w:right="11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مصاحبه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الزامی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2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گفتگو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34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سؤالات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بپرسید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64" w:lineRule="auto"/>
        <w:ind w:left="0" w:right="18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3"/>
        <w:bidi w:val="1"/>
        <w:spacing w:line="264" w:lineRule="auto"/>
        <w:ind w:right="1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استثنایی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بودن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3"/>
        <w:bidi w:val="1"/>
        <w:spacing w:line="264" w:lineRule="auto"/>
        <w:ind w:right="1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ترجیحات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همخوانی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متقاعد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ترجیحات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همخوانی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رأی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3"/>
        <w:bidi w:val="1"/>
        <w:spacing w:line="264" w:lineRule="auto"/>
        <w:ind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بیانیه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کتبی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شامل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64" w:lineRule="auto"/>
        <w:ind w:left="120" w:right="83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1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چنانکه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58" w:line="276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</w:p>
    <w:p w:rsidR="00000000" w:rsidDel="00000000" w:rsidP="00000000" w:rsidRDefault="00000000" w:rsidRPr="00000000" w14:paraId="000000F9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76" w:lineRule="auto"/>
        <w:ind w:left="940" w:right="2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5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بعد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افتد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0" w:line="276" w:lineRule="auto"/>
        <w:ind w:left="0" w:right="16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18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برگرداند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4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منقضی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4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76" w:lineRule="auto"/>
        <w:ind w:left="940" w:right="24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76" w:lineRule="auto"/>
        <w:ind w:left="940" w:right="23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ادغام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جزئی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76" w:lineRule="auto"/>
        <w:ind w:left="940" w:right="39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9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3"/>
        <w:bidi w:val="1"/>
        <w:spacing w:line="276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صورت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مخالفت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آنها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کاری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توانند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انجام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دهند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نیستید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48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0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نباشید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ندهید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نکنید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دستور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F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3"/>
        <w:bidi w:val="1"/>
        <w:spacing w:line="264" w:lineRule="auto"/>
        <w:ind w:right="148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چگونه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توانم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مطرح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کنم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خزانه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5050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Yonge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Toronto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297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هستید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54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3"/>
        <w:bidi w:val="1"/>
        <w:spacing w:line="264" w:lineRule="auto"/>
        <w:ind w:right="112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فرآیند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افتد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0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1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43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460" w:right="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عضویت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r:id="rId10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مقررات</w:t>
        </w:r>
      </w:hyperlink>
      <w:hyperlink r:id="rId10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181/98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مراجعه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حداکثر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3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مصاحبه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22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49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پایان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42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13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7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ملزم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58" w:line="264" w:lineRule="auto"/>
        <w:ind w:left="0" w:right="31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بپذیرید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اعتراض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نوشتن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3"/>
        <w:bidi w:val="1"/>
        <w:spacing w:line="264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پس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اینکه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کودک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برنامه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آموزش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ویژه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گرفت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توان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بازنگری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داد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مبنی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3"/>
        <w:bidi w:val="1"/>
        <w:spacing w:line="264" w:lineRule="auto"/>
        <w:ind w:right="198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جهت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بازنگری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چیزی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گرفته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موردش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ابتدا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متفاوتی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4"/>
        <w:bidi w:val="1"/>
        <w:spacing w:line="264" w:lineRule="auto"/>
        <w:ind w:left="120" w:right="159" w:firstLine="0"/>
        <w:jc w:val="both"/>
        <w:rPr>
          <w:b w:val="0"/>
        </w:rPr>
      </w:pPr>
      <w:r w:rsidDel="00000000" w:rsidR="00000000" w:rsidRPr="00000000">
        <w:rPr>
          <w:color w:val="231f20"/>
          <w:rtl w:val="1"/>
        </w:rPr>
        <w:t xml:space="preserve">اگر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فرزندم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تازگی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وارد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مدرسه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نیازهای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ویژه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بسیار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پیچیده</w:t>
      </w:r>
      <w:r w:rsidDel="00000000" w:rsidR="00000000" w:rsidRPr="00000000">
        <w:rPr>
          <w:color w:val="231f20"/>
          <w:rtl w:val="1"/>
        </w:rPr>
        <w:t xml:space="preserve">‌</w:t>
      </w:r>
      <w:r w:rsidDel="00000000" w:rsidR="00000000" w:rsidRPr="00000000">
        <w:rPr>
          <w:color w:val="231f20"/>
          <w:rtl w:val="1"/>
        </w:rPr>
        <w:t xml:space="preserve">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داشته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باشد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اما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مراجعه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نکرده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باشد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چطور</w:t>
      </w:r>
      <w:r w:rsidDel="00000000" w:rsidR="00000000" w:rsidRPr="00000000">
        <w:rPr>
          <w:color w:val="231f2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before="8" w:line="264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64" w:lineRule="auto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5348605</wp:posOffset>
                </wp:positionV>
                <wp:extent cx="3771900" cy="7308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414558"/>
                          <a:ext cx="3771900" cy="730885"/>
                          <a:chOff x="3460050" y="3414558"/>
                          <a:chExt cx="3771900" cy="730885"/>
                        </a:xfrm>
                      </wpg:grpSpPr>
                      <wpg:grpSp>
                        <wpg:cNvGrpSpPr/>
                        <wpg:grpSpPr>
                          <a:xfrm>
                            <a:off x="3460050" y="3414558"/>
                            <a:ext cx="3771900" cy="730885"/>
                            <a:chOff x="0" y="0"/>
                            <a:chExt cx="3771900" cy="7308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73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3771900" cy="730885"/>
                            </a:xfrm>
                            <a:custGeom>
                              <a:rect b="b" l="l" r="r" t="t"/>
                              <a:pathLst>
                                <a:path extrusionOk="0" h="730885" w="3771900">
                                  <a:moveTo>
                                    <a:pt x="0" y="730885"/>
                                  </a:moveTo>
                                  <a:lnTo>
                                    <a:pt x="3771900" y="730885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5348605</wp:posOffset>
                </wp:positionV>
                <wp:extent cx="3771900" cy="7308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spacing w:line="264" w:lineRule="auto"/>
        <w:ind w:left="730" w:right="160" w:firstLine="0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before="1" w:line="264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3"/>
        <w:bidi w:val="1"/>
        <w:spacing w:line="264" w:lineRule="auto"/>
        <w:ind w:right="3615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ورودشان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جلوگیری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جابجایی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تازگی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گذارند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نهایت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نپذیرند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گذاشته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پذیرند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نپذیرفته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بفرستند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3"/>
        <w:bidi w:val="1"/>
        <w:spacing w:line="269" w:lineRule="auto"/>
        <w:ind w:right="352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ساختار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ساختارهای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4"/>
        <w:numPr>
          <w:ilvl w:val="0"/>
          <w:numId w:val="2"/>
        </w:numPr>
        <w:tabs>
          <w:tab w:val="left" w:pos="460"/>
        </w:tabs>
        <w:bidi w:val="1"/>
        <w:spacing w:before="76" w:line="269" w:lineRule="auto"/>
        <w:ind w:left="0" w:hanging="16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اعضای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شبکه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یادگیری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4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سازماندهی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برعهده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9" w:lineRule="auto"/>
        <w:ind w:left="940" w:right="32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7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4"/>
        <w:numPr>
          <w:ilvl w:val="0"/>
          <w:numId w:val="2"/>
        </w:numPr>
        <w:tabs>
          <w:tab w:val="left" w:pos="460"/>
        </w:tabs>
        <w:bidi w:val="1"/>
        <w:spacing w:before="87" w:line="269" w:lineRule="auto"/>
        <w:ind w:left="0" w:hanging="16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اعضای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0"/>
        </w:rPr>
        <w:t xml:space="preserve">SEPRC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مرکزی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4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9" w:lineRule="auto"/>
        <w:ind w:left="940" w:right="14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3"/>
        <w:bidi w:val="1"/>
        <w:spacing w:before="51" w:line="276" w:lineRule="auto"/>
        <w:ind w:right="3159" w:firstLine="120"/>
        <w:jc w:val="both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3962ab"/>
          <w:rtl w:val="1"/>
        </w:rPr>
        <w:t xml:space="preserve">مراحل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ارجاع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آدرس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شنوایی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عصبی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شناختی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گفتار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کاردرمانی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فیزیوتراپی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گذارند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بلافاصله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بپذیرند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نپذیرند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ایضاح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دفتر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الکترونیکی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تلفنی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راهنمای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3"/>
        <w:bidi w:val="1"/>
        <w:spacing w:line="276" w:lineRule="auto"/>
        <w:ind w:right="1761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مدارک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نیاز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الزامی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خواستار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76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16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گنجانده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شناختی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0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گفتار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کاردرمانی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فیزیوتراپی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16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فرم</w:t>
        </w:r>
      </w:hyperlink>
      <w:hyperlink r:id="rId10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0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سابقه</w:t>
        </w:r>
      </w:hyperlink>
      <w:hyperlink r:id="rId10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0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رشد</w:t>
        </w:r>
      </w:hyperlink>
      <w:hyperlink r:id="rId10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خردسال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مهدکودک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58" w:line="276" w:lineRule="auto"/>
        <w:ind w:left="0" w:right="2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بدانند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3"/>
        <w:bidi w:val="1"/>
        <w:spacing w:line="276" w:lineRule="auto"/>
        <w:ind w:right="353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حضور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ارائه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76" w:lineRule="auto"/>
        <w:ind w:left="0" w:right="12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لزوم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ترتیبی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مترجم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3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سوابق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0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افرادی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9" w:line="276" w:lineRule="auto"/>
        <w:ind w:left="0" w:right="11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برداشتی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پتانسیل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before="2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3"/>
        <w:bidi w:val="1"/>
        <w:spacing w:line="276" w:lineRule="auto"/>
        <w:ind w:right="274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عملکردهای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6" w:line="276" w:lineRule="auto"/>
        <w:ind w:left="0" w:right="22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هنگام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8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الزامی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30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before="1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رأی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اکثریت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Style w:val="Heading3"/>
        <w:bidi w:val="1"/>
        <w:spacing w:line="276" w:lineRule="auto"/>
        <w:ind w:right="158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پیگیری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نیاز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پذیرفته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بازدیدی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بپذیرد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9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تشخیصی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خردسال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مجددا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بالاتر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مهدکودک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3"/>
        <w:bidi w:val="1"/>
        <w:spacing w:line="269" w:lineRule="auto"/>
        <w:ind w:right="252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فرآیند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15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Style w:val="Heading3"/>
        <w:bidi w:val="1"/>
        <w:spacing w:line="269" w:lineRule="auto"/>
        <w:ind w:right="835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همانند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33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شباهت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92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69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9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7" w:line="269" w:lineRule="auto"/>
        <w:ind w:left="120" w:right="327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23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31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28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36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before="10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49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3"/>
        <w:bidi w:val="1"/>
        <w:spacing w:before="51" w:line="276" w:lineRule="auto"/>
        <w:ind w:left="140" w:right="2" w:firstLine="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سازمان</w:t>
      </w:r>
      <w:r w:rsidDel="00000000" w:rsidR="00000000" w:rsidRPr="00000000">
        <w:rPr>
          <w:color w:val="3962ab"/>
          <w:rtl w:val="1"/>
        </w:rPr>
        <w:t xml:space="preserve">‌</w:t>
      </w:r>
      <w:r w:rsidDel="00000000" w:rsidR="00000000" w:rsidRPr="00000000">
        <w:rPr>
          <w:color w:val="3962ab"/>
          <w:rtl w:val="1"/>
        </w:rPr>
        <w:t xml:space="preserve">هایی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کمک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دسترس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هستند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hyperlink r:id="rId10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www.tdsb.on.ca/seac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"/>
        </w:tabs>
        <w:bidi w:val="1"/>
        <w:spacing w:after="0" w:before="58" w:line="276" w:lineRule="auto"/>
        <w:ind w:left="300" w:right="29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دبستانی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دبیرستان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00" w:right="1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الزامات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296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4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2"/>
        <w:gridCol w:w="2268"/>
        <w:gridCol w:w="1985"/>
        <w:tblGridChange w:id="0">
          <w:tblGrid>
            <w:gridCol w:w="1242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Ernest C. Drury School</w:t>
            </w:r>
          </w:p>
          <w:p w:rsidR="00000000" w:rsidDel="00000000" w:rsidP="00000000" w:rsidRDefault="00000000" w:rsidRPr="00000000" w14:paraId="000001AB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255 Ontario Street South Milton, ON L9T 2M5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Tel: 905-878-2851</w:t>
            </w:r>
          </w:p>
          <w:p w:rsidR="00000000" w:rsidDel="00000000" w:rsidP="00000000" w:rsidRDefault="00000000" w:rsidRPr="00000000" w14:paraId="000001AE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TTY: 905-878-7195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Robarts School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137" w:firstLine="0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1090 Highbury Avenue, P.O. Box 7360, Station E, London, ON N5Y 4V9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before="7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Tel/TTY: 519-453-4400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Sir James Whitney School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350 Dundas Street West, Belleville, ON K8P 1B2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before="7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Tel/TTY: 613-967-2823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Centre Jules-Léger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8.00000000000006" w:lineRule="auto"/>
              <w:ind w:left="137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مدرسه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فرانسوی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زبان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مربوط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ناشنوایان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12" w:lineRule="auto"/>
              <w:ind w:left="152" w:righ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281 rue Lanark, Ottawa,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before="2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ON K1Z 6R8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right="5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before="10" w:lineRule="auto"/>
              <w:ind w:right="5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613-761-9300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before="10" w:lineRule="auto"/>
              <w:ind w:right="59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before="2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613-761-9302/9304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spacing w:line="276" w:lineRule="auto"/>
        <w:rPr/>
        <w:sectPr>
          <w:type w:val="nextPage"/>
          <w:pgSz w:h="15840" w:w="12240" w:orient="portrait"/>
          <w:pgMar w:bottom="780" w:top="440" w:left="400" w:right="380" w:header="0" w:footer="585"/>
          <w:cols w:equalWidth="0" w:num="2">
            <w:col w:space="397" w:w="5531.5"/>
            <w:col w:space="0" w:w="5531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سؤالی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hyperlink r:id="rId1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به</w:t>
        </w:r>
      </w:hyperlink>
      <w:hyperlink r:id="rId1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وب</w:t>
        </w:r>
      </w:hyperlink>
      <w:hyperlink r:id="rId1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‌</w:t>
        </w:r>
      </w:hyperlink>
      <w:hyperlink r:id="rId1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سایت</w:t>
        </w:r>
      </w:hyperlink>
      <w:hyperlink r:id="rId1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TDSB</w:t>
        </w:r>
      </w:hyperlink>
      <w:hyperlink r:id="rId1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به</w:t>
        </w:r>
      </w:hyperlink>
      <w:hyperlink r:id="rId1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آدرس</w:t>
        </w:r>
      </w:hyperlink>
      <w:hyperlink r:id="rId1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زیر</w:t>
        </w:r>
      </w:hyperlink>
      <w:hyperlink r:id="rId1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مراجعه</w:t>
        </w:r>
      </w:hyperlink>
      <w:hyperlink r:id="rId1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کنید</w:t>
        </w:r>
      </w:hyperlink>
      <w:hyperlink r:id="rId1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</w:t>
          <w:br w:type="textWrapping"/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5e9e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www.tdsb.on.ca/specialeducation</w:t>
      </w:r>
      <w:hyperlink r:id="rId128">
        <w:r w:rsidDel="00000000" w:rsidR="00000000" w:rsidRPr="00000000">
          <w:rPr>
            <w:rtl w:val="0"/>
          </w:rPr>
        </w:r>
      </w:hyperlink>
      <w:hyperlink r:id="rId1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همچنین</w:t>
        </w:r>
      </w:hyperlink>
      <w:hyperlink r:id="rId1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می</w:t>
        </w:r>
      </w:hyperlink>
      <w:hyperlink r:id="rId1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‌</w:t>
        </w:r>
      </w:hyperlink>
      <w:hyperlink r:id="rId1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توانید</w:t>
        </w:r>
      </w:hyperlink>
      <w:hyperlink r:id="rId1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تلفن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صفحه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5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5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Style w:val="Heading2"/>
        <w:bidi w:val="1"/>
        <w:ind w:left="137" w:right="639" w:firstLine="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مدارس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استانی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مدارس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آزمایشگاهی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وزارت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bidi w:val="1"/>
        <w:spacing w:before="12" w:line="240" w:lineRule="auto"/>
        <w:rPr>
          <w:sz w:val="24"/>
          <w:szCs w:val="24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4">
            <w:col w:space="93" w:w="2795.25"/>
            <w:col w:space="93" w:w="2795.25"/>
            <w:col w:space="93" w:w="2795.25"/>
            <w:col w:space="0" w:w="2795.25"/>
          </w:cols>
          <w:bidi w:val="1"/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62"/>
        <w:gridCol w:w="2108"/>
        <w:gridCol w:w="1700"/>
        <w:tblGridChange w:id="0">
          <w:tblGrid>
            <w:gridCol w:w="1262"/>
            <w:gridCol w:w="2108"/>
            <w:gridCol w:w="1700"/>
          </w:tblGrid>
        </w:tblGridChange>
      </w:tblGrid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W. Ross</w:t>
            </w:r>
          </w:p>
          <w:p w:rsidR="00000000" w:rsidDel="00000000" w:rsidP="00000000" w:rsidRDefault="00000000" w:rsidRPr="00000000" w14:paraId="000001C7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Macdonald School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3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350 Brant Avenue,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3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Brantford, ON N3T 3J9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0" w:right="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before="71" w:lineRule="auto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519-759-0730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سرتاسر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عمدتا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آموزانی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فاصله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دوشنبه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bidi w:val="1"/>
        <w:spacing w:before="1" w:line="160" w:lineRule="auto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"/>
        </w:tabs>
        <w:bidi w:val="1"/>
        <w:spacing w:after="0" w:before="0" w:line="250" w:lineRule="auto"/>
        <w:ind w:left="296" w:right="14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Style w:val="Heading4"/>
        <w:bidi w:val="1"/>
        <w:spacing w:line="167" w:lineRule="auto"/>
        <w:ind w:left="445" w:firstLine="0"/>
        <w:rPr>
          <w:b w:val="0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2">
            <w:col w:space="421" w:w="5519.5"/>
            <w:col w:space="0" w:w="5519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"/>
        </w:tabs>
        <w:bidi w:val="1"/>
        <w:spacing w:after="0" w:before="83" w:line="250" w:lineRule="auto"/>
        <w:ind w:left="476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اختلال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ADD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ADHD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اختلالات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4"/>
        <w:bidi w:val="1"/>
        <w:spacing w:before="97" w:line="250" w:lineRule="auto"/>
        <w:ind w:left="527" w:hanging="211"/>
        <w:rPr/>
        <w:sectPr>
          <w:type w:val="continuous"/>
          <w:pgSz w:h="15840" w:w="12240" w:orient="portrait"/>
          <w:pgMar w:bottom="0" w:top="1480" w:left="400" w:right="380" w:header="720" w:footer="720"/>
          <w:cols w:equalWidth="0" w:num="4">
            <w:col w:space="40" w:w="2835"/>
            <w:col w:space="40" w:w="2835"/>
            <w:col w:space="40" w:w="2835"/>
            <w:col w:space="0" w:w="2835"/>
          </w:cols>
          <w:bidi w:val="1"/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2"/>
        <w:gridCol w:w="2268"/>
        <w:gridCol w:w="1560"/>
        <w:tblGridChange w:id="0">
          <w:tblGrid>
            <w:gridCol w:w="1242"/>
            <w:gridCol w:w="2268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Sagonaska School</w:t>
            </w:r>
          </w:p>
          <w:p w:rsidR="00000000" w:rsidDel="00000000" w:rsidP="00000000" w:rsidRDefault="00000000" w:rsidRPr="00000000" w14:paraId="000001D5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350 Dundas Street West, Belleville, ON K8P 1B2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613-967-2830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Trillium School</w:t>
            </w:r>
          </w:p>
          <w:p w:rsidR="00000000" w:rsidDel="00000000" w:rsidP="00000000" w:rsidRDefault="00000000" w:rsidRPr="00000000" w14:paraId="000001D9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347 Ontario Street South, Milton, ON L9T 3X9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before="71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905-878-8428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Amethyst School</w:t>
            </w:r>
          </w:p>
          <w:p w:rsidR="00000000" w:rsidDel="00000000" w:rsidP="00000000" w:rsidRDefault="00000000" w:rsidRPr="00000000" w14:paraId="000001DD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1090 Highbury Avenue, London, ON  N5Y 4V9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before="71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519-453-4408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Centre Jules-Léger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before="2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برای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دانش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آموزان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فرانسوی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زبان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281 rue Lanark, Ottawa, ON  K1Z 6R8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before="2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613-761-9300 TTY: 613-761-9302/930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03" w:lineRule="auto"/>
        <w:ind w:left="12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40" w:lineRule="auto"/>
        <w:ind w:left="639" w:right="51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4"/>
        <w:bidi w:val="1"/>
        <w:ind w:left="639" w:right="518" w:firstLine="0"/>
        <w:jc w:val="center"/>
        <w:rPr>
          <w:b w:val="0"/>
        </w:rPr>
      </w:pPr>
      <w:r w:rsidDel="00000000" w:rsidR="00000000" w:rsidRPr="00000000">
        <w:rPr>
          <w:color w:val="231f20"/>
          <w:rtl w:val="1"/>
        </w:rPr>
        <w:t xml:space="preserve">وزارت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آموزش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شعبه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مدارس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استانی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bidi w:val="1"/>
        <w:spacing w:after="0" w:before="0" w:line="345" w:lineRule="auto"/>
        <w:ind w:left="569" w:right="14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255 Ontario Street, South Milton, ON L9T 2M5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spacing w:after="0" w:before="0" w:line="345" w:lineRule="auto"/>
        <w:ind w:left="569" w:right="1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2">
            <w:col w:space="200" w:w="5630"/>
            <w:col w:space="0" w:w="5630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Tel: 905-878-2851</w:t>
        <w:tab/>
        <w:t xml:space="preserve">Fax: 905-878-5405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before="6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bidi w:val="1"/>
        <w:spacing w:line="250" w:lineRule="auto"/>
        <w:ind w:left="117" w:right="5967" w:firstLine="208.9999999999999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1480" w:left="400" w:right="380" w:header="720" w:footer="720"/>
      <w:cols w:equalWidth="0" w:num="3">
        <w:col w:space="40" w:w="3793.333333333333"/>
        <w:col w:space="40" w:w="3793.333333333333"/>
        <w:col w:space="0" w:w="3793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bidi w:val="1"/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9664700</wp:posOffset>
              </wp:positionV>
              <wp:extent cx="1427480" cy="15113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891023" y="3709198"/>
                        <a:ext cx="1417955" cy="141605"/>
                      </a:xfrm>
                      <a:custGeom>
                        <a:rect b="b" l="l" r="r" t="t"/>
                        <a:pathLst>
                          <a:path extrusionOk="0" h="141605" w="1417955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1417955" y="141605"/>
                            </a:lnTo>
                            <a:lnTo>
                              <a:pt x="14179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03.00000667572021"/>
                            <w:ind w:left="40" w:right="0" w:firstLine="4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9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	طرح آموزش ویژه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9664700</wp:posOffset>
              </wp:positionV>
              <wp:extent cx="1427480" cy="15113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7480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9537700</wp:posOffset>
              </wp:positionV>
              <wp:extent cx="1483995" cy="37211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862765" y="3598708"/>
                        <a:ext cx="1474470" cy="362585"/>
                      </a:xfrm>
                      <a:custGeom>
                        <a:rect b="b" l="l" r="r" t="t"/>
                        <a:pathLst>
                          <a:path extrusionOk="0" h="362585" w="1474470">
                            <a:moveTo>
                              <a:pt x="0" y="0"/>
                            </a:moveTo>
                            <a:lnTo>
                              <a:pt x="0" y="362585"/>
                            </a:lnTo>
                            <a:lnTo>
                              <a:pt x="1474470" y="362585"/>
                            </a:lnTo>
                            <a:lnTo>
                              <a:pt x="14744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547.9999923706055"/>
                            <w:ind w:left="20" w:right="0" w:firstLine="2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73c167"/>
                              <w:sz w:val="53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9b617"/>
                              <w:sz w:val="53"/>
                              <w:vertAlign w:val="baseline"/>
                            </w:rPr>
                            <w:t xml:space="preserve">d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3c61ad"/>
                              <w:sz w:val="53"/>
                              <w:vertAlign w:val="baseline"/>
                            </w:rPr>
                            <w:t xml:space="preserve">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f7d22"/>
                              <w:sz w:val="53"/>
                              <w:vertAlign w:val="baseline"/>
                            </w:rPr>
                            <w:t xml:space="preserve">b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33"/>
                              <w:vertAlign w:val="baseline"/>
                            </w:rPr>
                            <w:t xml:space="preserve">.on.ca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9537700</wp:posOffset>
              </wp:positionV>
              <wp:extent cx="1483995" cy="37211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995" cy="372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9652000</wp:posOffset>
              </wp:positionV>
              <wp:extent cx="5641340" cy="170815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79330" y="3694593"/>
                        <a:ext cx="5641340" cy="170815"/>
                        <a:chOff x="2779330" y="3694593"/>
                        <a:chExt cx="5641340" cy="170815"/>
                      </a:xfrm>
                    </wpg:grpSpPr>
                    <wpg:grpSp>
                      <wpg:cNvGrpSpPr/>
                      <wpg:grpSpPr>
                        <a:xfrm>
                          <a:off x="2779330" y="3694593"/>
                          <a:ext cx="5641340" cy="170815"/>
                          <a:chOff x="0" y="0"/>
                          <a:chExt cx="5641340" cy="1708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41325" cy="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0" y="0"/>
                            <a:ext cx="5641340" cy="170815"/>
                          </a:xfrm>
                          <a:custGeom>
                            <a:rect b="b" l="l" r="r" t="t"/>
                            <a:pathLst>
                              <a:path extrusionOk="0" h="170815" w="5641340">
                                <a:moveTo>
                                  <a:pt x="0" y="170815"/>
                                </a:moveTo>
                                <a:lnTo>
                                  <a:pt x="5641340" y="170815"/>
                                </a:lnTo>
                                <a:lnTo>
                                  <a:pt x="564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3A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9652000</wp:posOffset>
              </wp:positionV>
              <wp:extent cx="5641340" cy="17081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1340" cy="170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1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1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8"/>
    </w:pPr>
    <w:rPr>
      <w:rFonts w:ascii="Arial" w:cs="Arial" w:eastAsia="Arial" w:hAnsi="Arial"/>
      <w:b w:val="1"/>
      <w:sz w:val="72"/>
      <w:szCs w:val="72"/>
    </w:rPr>
  </w:style>
  <w:style w:type="paragraph" w:styleId="Heading2">
    <w:name w:val="heading 2"/>
    <w:basedOn w:val="Normal"/>
    <w:next w:val="Normal"/>
    <w:pPr>
      <w:ind w:left="120"/>
    </w:pPr>
    <w:rPr>
      <w:rFonts w:ascii="Arial" w:cs="Arial" w:eastAsia="Arial" w:hAnsi="Arial"/>
      <w:b w:val="1"/>
      <w:sz w:val="44"/>
      <w:szCs w:val="44"/>
    </w:rPr>
  </w:style>
  <w:style w:type="paragraph" w:styleId="Heading3">
    <w:name w:val="heading 3"/>
    <w:basedOn w:val="Normal"/>
    <w:next w:val="Normal"/>
    <w:pPr>
      <w:ind w:left="1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ind w:left="46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/>
    <w:rPr>
      <w:rFonts w:ascii="Arial" w:cs="Arial" w:eastAsia="Arial" w:hAnsi="Arial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408"/>
      <w:outlineLvl w:val="0"/>
    </w:pPr>
    <w:rPr>
      <w:rFonts w:ascii="Arial" w:eastAsia="Arial" w:hAnsi="Arial"/>
      <w:b w:val="1"/>
      <w:bCs w:val="1"/>
      <w:sz w:val="72"/>
      <w:szCs w:val="72"/>
    </w:rPr>
  </w:style>
  <w:style w:type="paragraph" w:styleId="Heading2">
    <w:name w:val="heading 2"/>
    <w:basedOn w:val="Normal"/>
    <w:uiPriority w:val="1"/>
    <w:qFormat w:val="1"/>
    <w:pPr>
      <w:ind w:left="120"/>
      <w:outlineLvl w:val="1"/>
    </w:pPr>
    <w:rPr>
      <w:rFonts w:ascii="Arial" w:eastAsia="Arial" w:hAnsi="Arial"/>
      <w:b w:val="1"/>
      <w:bCs w:val="1"/>
      <w:sz w:val="44"/>
      <w:szCs w:val="44"/>
    </w:rPr>
  </w:style>
  <w:style w:type="paragraph" w:styleId="Heading3">
    <w:name w:val="heading 3"/>
    <w:basedOn w:val="Normal"/>
    <w:uiPriority w:val="1"/>
    <w:qFormat w:val="1"/>
    <w:pPr>
      <w:ind w:left="120"/>
      <w:outlineLvl w:val="2"/>
    </w:pPr>
    <w:rPr>
      <w:rFonts w:ascii="Arial" w:eastAsia="Arial" w:hAnsi="Arial"/>
      <w:b w:val="1"/>
      <w:bCs w:val="1"/>
      <w:sz w:val="26"/>
      <w:szCs w:val="26"/>
    </w:rPr>
  </w:style>
  <w:style w:type="paragraph" w:styleId="Heading4">
    <w:name w:val="heading 4"/>
    <w:basedOn w:val="Normal"/>
    <w:uiPriority w:val="1"/>
    <w:qFormat w:val="1"/>
    <w:pPr>
      <w:ind w:left="460"/>
      <w:outlineLvl w:val="3"/>
    </w:pPr>
    <w:rPr>
      <w:rFonts w:ascii="Arial" w:eastAsia="Arial" w:hAnsi="Arial"/>
      <w:b w:val="1"/>
      <w:bCs w:val="1"/>
    </w:rPr>
  </w:style>
  <w:style w:type="paragraph" w:styleId="Heading5">
    <w:name w:val="heading 5"/>
    <w:basedOn w:val="Normal"/>
    <w:uiPriority w:val="1"/>
    <w:qFormat w:val="1"/>
    <w:pPr>
      <w:outlineLvl w:val="4"/>
    </w:pPr>
    <w:rPr>
      <w:rFonts w:ascii="Arial" w:eastAsia="Arial" w:hAnsi="Arial"/>
      <w:b w:val="1"/>
      <w:bCs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pPr>
      <w:ind w:left="460" w:hanging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A17A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7AFC"/>
  </w:style>
  <w:style w:type="paragraph" w:styleId="Footer">
    <w:name w:val="footer"/>
    <w:basedOn w:val="Normal"/>
    <w:link w:val="FooterChar"/>
    <w:uiPriority w:val="99"/>
    <w:unhideWhenUsed w:val="1"/>
    <w:rsid w:val="00A17A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AFC"/>
  </w:style>
  <w:style w:type="character" w:styleId="Hyperlink">
    <w:name w:val="Hyperlink"/>
    <w:basedOn w:val="DefaultParagraphFont"/>
    <w:uiPriority w:val="99"/>
    <w:unhideWhenUsed w:val="1"/>
    <w:rsid w:val="00E54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C6A"/>
    <w:pPr>
      <w:widowControl w:val="1"/>
    </w:pPr>
    <w:rPr>
      <w:lang w:bidi="ar-S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 w:customStyle="1">
    <w:name w:val="Body Text Char"/>
    <w:basedOn w:val="DefaultParagraphFont"/>
    <w:link w:val="BodyText"/>
    <w:uiPriority w:val="1"/>
    <w:rsid w:val="00880173"/>
    <w:rPr>
      <w:rFonts w:ascii="Arial" w:eastAsia="Arial" w:hAnsi="Arial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E2E00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FA0E61"/>
    <w:pPr>
      <w:widowControl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ontario.ca/laws/regulation/980181" TargetMode="External"/><Relationship Id="rId42" Type="http://schemas.openxmlformats.org/officeDocument/2006/relationships/hyperlink" Target="https://www.ontario.ca/laws/regulation/980181" TargetMode="External"/><Relationship Id="rId41" Type="http://schemas.openxmlformats.org/officeDocument/2006/relationships/hyperlink" Target="https://www.ontario.ca/laws/regulation/980181" TargetMode="External"/><Relationship Id="rId44" Type="http://schemas.openxmlformats.org/officeDocument/2006/relationships/hyperlink" Target="http://edu.gov.on.ca/eng/general/elemsec/speced/guide/resource/index.html" TargetMode="External"/><Relationship Id="rId43" Type="http://schemas.openxmlformats.org/officeDocument/2006/relationships/hyperlink" Target="http://edu.gov.on.ca/eng/general/elemsec/speced/guide/resource/index.html" TargetMode="External"/><Relationship Id="rId46" Type="http://schemas.openxmlformats.org/officeDocument/2006/relationships/hyperlink" Target="http://edu.gov.on.ca/eng/general/elemsec/speced/guide/resource/index.html" TargetMode="External"/><Relationship Id="rId45" Type="http://schemas.openxmlformats.org/officeDocument/2006/relationships/hyperlink" Target="http://edu.gov.on.ca/eng/general/elemsec/speced/guide/resource/index.html" TargetMode="External"/><Relationship Id="rId107" Type="http://schemas.openxmlformats.org/officeDocument/2006/relationships/hyperlink" Target="http://www.tdsb.on.ca/AboutUs/Policies,ProceduresForms/Detail.aspx?docId=419" TargetMode="External"/><Relationship Id="rId106" Type="http://schemas.openxmlformats.org/officeDocument/2006/relationships/hyperlink" Target="http://www.tdsb.on.ca/AboutUs/Policies,ProceduresForms/Detail.aspx?docId=419" TargetMode="External"/><Relationship Id="rId105" Type="http://schemas.openxmlformats.org/officeDocument/2006/relationships/hyperlink" Target="http://www.tdsb.on.ca/AboutUs/Policies,ProceduresForms/Detail.aspx?docId=419" TargetMode="External"/><Relationship Id="rId104" Type="http://schemas.openxmlformats.org/officeDocument/2006/relationships/hyperlink" Target="http://www.tdsb.on.ca/AboutUs/Policies,ProceduresForms/Detail.aspx?docId=419" TargetMode="External"/><Relationship Id="rId109" Type="http://schemas.openxmlformats.org/officeDocument/2006/relationships/hyperlink" Target="http://www.tdsb.on.ca/seac" TargetMode="External"/><Relationship Id="rId108" Type="http://schemas.openxmlformats.org/officeDocument/2006/relationships/hyperlink" Target="http://www.tdsb.on.ca/AboutUs/Policies,ProceduresForms/Detail.aspx?docId=419" TargetMode="External"/><Relationship Id="rId48" Type="http://schemas.openxmlformats.org/officeDocument/2006/relationships/hyperlink" Target="http://edu.gov.on.ca/eng/general/elemsec/speced/guide/resource/index.html" TargetMode="External"/><Relationship Id="rId47" Type="http://schemas.openxmlformats.org/officeDocument/2006/relationships/hyperlink" Target="http://edu.gov.on.ca/eng/general/elemsec/speced/guide/resource/index.html" TargetMode="External"/><Relationship Id="rId49" Type="http://schemas.openxmlformats.org/officeDocument/2006/relationships/hyperlink" Target="http://edu.gov.on.ca/eng/general/elemsec/speced/guide/resource/index.html" TargetMode="External"/><Relationship Id="rId103" Type="http://schemas.openxmlformats.org/officeDocument/2006/relationships/hyperlink" Target="http://www.tdsb.on.ca/AboutUs/Policies,ProceduresForms/Detail.aspx?docId=419" TargetMode="External"/><Relationship Id="rId102" Type="http://schemas.openxmlformats.org/officeDocument/2006/relationships/image" Target="media/image5.png"/><Relationship Id="rId101" Type="http://schemas.openxmlformats.org/officeDocument/2006/relationships/hyperlink" Target="https://www.ontario.ca/laws/regulation/980181" TargetMode="External"/><Relationship Id="rId100" Type="http://schemas.openxmlformats.org/officeDocument/2006/relationships/hyperlink" Target="https://www.ontario.ca/laws/regulation/980181" TargetMode="External"/><Relationship Id="rId31" Type="http://schemas.openxmlformats.org/officeDocument/2006/relationships/hyperlink" Target="http://www.tdsb.on.ca/specialeducation" TargetMode="External"/><Relationship Id="rId30" Type="http://schemas.openxmlformats.org/officeDocument/2006/relationships/hyperlink" Target="http://www.tdsb.on.ca/specialeducation" TargetMode="External"/><Relationship Id="rId33" Type="http://schemas.openxmlformats.org/officeDocument/2006/relationships/hyperlink" Target="http://www.tdsb.on.ca/specialeducation" TargetMode="External"/><Relationship Id="rId32" Type="http://schemas.openxmlformats.org/officeDocument/2006/relationships/hyperlink" Target="http://www.tdsb.on.ca/specialeducation" TargetMode="External"/><Relationship Id="rId35" Type="http://schemas.openxmlformats.org/officeDocument/2006/relationships/hyperlink" Target="http://www.tdsb.on.ca/specialeducation" TargetMode="External"/><Relationship Id="rId34" Type="http://schemas.openxmlformats.org/officeDocument/2006/relationships/hyperlink" Target="http://www.tdsb.on.ca/specialeducation" TargetMode="External"/><Relationship Id="rId37" Type="http://schemas.openxmlformats.org/officeDocument/2006/relationships/hyperlink" Target="http://www.tdsb.on.ca/specialeducation" TargetMode="External"/><Relationship Id="rId36" Type="http://schemas.openxmlformats.org/officeDocument/2006/relationships/hyperlink" Target="http://www.tdsb.on.ca/specialeducation" TargetMode="External"/><Relationship Id="rId39" Type="http://schemas.openxmlformats.org/officeDocument/2006/relationships/hyperlink" Target="https://www.ontario.ca/laws/regulation/980181" TargetMode="External"/><Relationship Id="rId38" Type="http://schemas.openxmlformats.org/officeDocument/2006/relationships/hyperlink" Target="http://www.tdsb.on.ca/specialeducation" TargetMode="External"/><Relationship Id="rId20" Type="http://schemas.openxmlformats.org/officeDocument/2006/relationships/hyperlink" Target="http://www.tdsb.on.ca/specialeducation" TargetMode="External"/><Relationship Id="rId22" Type="http://schemas.openxmlformats.org/officeDocument/2006/relationships/hyperlink" Target="http://www.tdsb.on.ca/specialeducation" TargetMode="External"/><Relationship Id="rId21" Type="http://schemas.openxmlformats.org/officeDocument/2006/relationships/hyperlink" Target="http://www.tdsb.on.ca/specialeducation" TargetMode="External"/><Relationship Id="rId24" Type="http://schemas.openxmlformats.org/officeDocument/2006/relationships/hyperlink" Target="http://www.tdsb.on.ca/specialeducation" TargetMode="External"/><Relationship Id="rId23" Type="http://schemas.openxmlformats.org/officeDocument/2006/relationships/hyperlink" Target="http://www.tdsb.on.ca/specialeducation" TargetMode="External"/><Relationship Id="rId129" Type="http://schemas.openxmlformats.org/officeDocument/2006/relationships/hyperlink" Target="http://www.tdsb.on.ca/specialeducation" TargetMode="External"/><Relationship Id="rId128" Type="http://schemas.openxmlformats.org/officeDocument/2006/relationships/hyperlink" Target="http://www.tdsb.on.ca/specialeducation" TargetMode="External"/><Relationship Id="rId127" Type="http://schemas.openxmlformats.org/officeDocument/2006/relationships/hyperlink" Target="http://www.tdsb.on.ca/specialeducation" TargetMode="External"/><Relationship Id="rId126" Type="http://schemas.openxmlformats.org/officeDocument/2006/relationships/hyperlink" Target="http://www.tdsb.on.ca/specialeducation" TargetMode="External"/><Relationship Id="rId26" Type="http://schemas.openxmlformats.org/officeDocument/2006/relationships/hyperlink" Target="http://www.tdsb.on.ca/specialeducation" TargetMode="External"/><Relationship Id="rId121" Type="http://schemas.openxmlformats.org/officeDocument/2006/relationships/hyperlink" Target="http://www.tdsb.on.ca/specialeducation" TargetMode="External"/><Relationship Id="rId25" Type="http://schemas.openxmlformats.org/officeDocument/2006/relationships/hyperlink" Target="http://www.tdsb.on.ca/specialeducation" TargetMode="External"/><Relationship Id="rId120" Type="http://schemas.openxmlformats.org/officeDocument/2006/relationships/hyperlink" Target="http://www.tdsb.on.ca/specialeducation" TargetMode="External"/><Relationship Id="rId28" Type="http://schemas.openxmlformats.org/officeDocument/2006/relationships/hyperlink" Target="http://www.tdsb.on.ca/specialeducation" TargetMode="External"/><Relationship Id="rId27" Type="http://schemas.openxmlformats.org/officeDocument/2006/relationships/hyperlink" Target="http://www.tdsb.on.ca/specialeducation" TargetMode="External"/><Relationship Id="rId125" Type="http://schemas.openxmlformats.org/officeDocument/2006/relationships/hyperlink" Target="http://www.tdsb.on.ca/specialeducation" TargetMode="External"/><Relationship Id="rId29" Type="http://schemas.openxmlformats.org/officeDocument/2006/relationships/hyperlink" Target="http://www.tdsb.on.ca/specialeducation" TargetMode="External"/><Relationship Id="rId124" Type="http://schemas.openxmlformats.org/officeDocument/2006/relationships/hyperlink" Target="http://www.tdsb.on.ca/specialeducation" TargetMode="External"/><Relationship Id="rId123" Type="http://schemas.openxmlformats.org/officeDocument/2006/relationships/hyperlink" Target="http://www.tdsb.on.ca/specialeducation" TargetMode="External"/><Relationship Id="rId122" Type="http://schemas.openxmlformats.org/officeDocument/2006/relationships/hyperlink" Target="http://www.tdsb.on.ca/specialeducation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1" Type="http://schemas.openxmlformats.org/officeDocument/2006/relationships/image" Target="media/image4.png"/><Relationship Id="rId99" Type="http://schemas.openxmlformats.org/officeDocument/2006/relationships/image" Target="media/image1.png"/><Relationship Id="rId10" Type="http://schemas.openxmlformats.org/officeDocument/2006/relationships/footer" Target="footer1.xml"/><Relationship Id="rId98" Type="http://schemas.openxmlformats.org/officeDocument/2006/relationships/hyperlink" Target="about:blank" TargetMode="External"/><Relationship Id="rId13" Type="http://schemas.openxmlformats.org/officeDocument/2006/relationships/hyperlink" Target="http://www.tdsb.on.ca/specialeducation" TargetMode="External"/><Relationship Id="rId12" Type="http://schemas.openxmlformats.org/officeDocument/2006/relationships/image" Target="media/image6.png"/><Relationship Id="rId91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http://www.tdsb.on.ca/specialeducation" TargetMode="External"/><Relationship Id="rId117" Type="http://schemas.openxmlformats.org/officeDocument/2006/relationships/hyperlink" Target="http://www.tdsb.on.ca/specialeducation" TargetMode="External"/><Relationship Id="rId116" Type="http://schemas.openxmlformats.org/officeDocument/2006/relationships/hyperlink" Target="http://www.tdsb.on.ca/specialeducation" TargetMode="External"/><Relationship Id="rId115" Type="http://schemas.openxmlformats.org/officeDocument/2006/relationships/hyperlink" Target="http://www.tdsb.on.ca/specialeducation" TargetMode="External"/><Relationship Id="rId119" Type="http://schemas.openxmlformats.org/officeDocument/2006/relationships/hyperlink" Target="http://www.tdsb.on.ca/specialeducation" TargetMode="External"/><Relationship Id="rId15" Type="http://schemas.openxmlformats.org/officeDocument/2006/relationships/hyperlink" Target="http://www.tdsb.on.ca/specialeducation" TargetMode="External"/><Relationship Id="rId110" Type="http://schemas.openxmlformats.org/officeDocument/2006/relationships/hyperlink" Target="http://www.tdsb.on.ca/specialeducation" TargetMode="External"/><Relationship Id="rId14" Type="http://schemas.openxmlformats.org/officeDocument/2006/relationships/hyperlink" Target="http://www.tdsb.on.ca/specialeducation" TargetMode="External"/><Relationship Id="rId17" Type="http://schemas.openxmlformats.org/officeDocument/2006/relationships/hyperlink" Target="http://www.tdsb.on.ca/specialeducation" TargetMode="External"/><Relationship Id="rId16" Type="http://schemas.openxmlformats.org/officeDocument/2006/relationships/hyperlink" Target="http://www.tdsb.on.ca/specialeducation" TargetMode="External"/><Relationship Id="rId19" Type="http://schemas.openxmlformats.org/officeDocument/2006/relationships/hyperlink" Target="http://www.tdsb.on.ca/specialeducation" TargetMode="External"/><Relationship Id="rId114" Type="http://schemas.openxmlformats.org/officeDocument/2006/relationships/hyperlink" Target="http://www.tdsb.on.ca/specialeducation" TargetMode="External"/><Relationship Id="rId18" Type="http://schemas.openxmlformats.org/officeDocument/2006/relationships/hyperlink" Target="http://www.tdsb.on.ca/specialeducation" TargetMode="External"/><Relationship Id="rId113" Type="http://schemas.openxmlformats.org/officeDocument/2006/relationships/hyperlink" Target="http://www.tdsb.on.ca/specialeducation" TargetMode="External"/><Relationship Id="rId112" Type="http://schemas.openxmlformats.org/officeDocument/2006/relationships/hyperlink" Target="http://www.tdsb.on.ca/specialeducation" TargetMode="External"/><Relationship Id="rId111" Type="http://schemas.openxmlformats.org/officeDocument/2006/relationships/hyperlink" Target="http://www.tdsb.on.ca/specialeducation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dsb.on.ca/specialeduc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image" Target="media/image2.png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32" Type="http://schemas.openxmlformats.org/officeDocument/2006/relationships/hyperlink" Target="http://www.tdsb.on.ca/specialeducation" TargetMode="External"/><Relationship Id="rId131" Type="http://schemas.openxmlformats.org/officeDocument/2006/relationships/hyperlink" Target="http://www.tdsb.on.ca/specialeducation" TargetMode="External"/><Relationship Id="rId130" Type="http://schemas.openxmlformats.org/officeDocument/2006/relationships/hyperlink" Target="http://www.tdsb.on.ca/specialeducation" TargetMode="External"/><Relationship Id="rId136" Type="http://schemas.openxmlformats.org/officeDocument/2006/relationships/hyperlink" Target="http://www.tdsb.on.ca/specialeducation" TargetMode="External"/><Relationship Id="rId135" Type="http://schemas.openxmlformats.org/officeDocument/2006/relationships/hyperlink" Target="http://www.tdsb.on.ca/specialeducation" TargetMode="External"/><Relationship Id="rId134" Type="http://schemas.openxmlformats.org/officeDocument/2006/relationships/hyperlink" Target="http://www.tdsb.on.ca/specialeducation" TargetMode="External"/><Relationship Id="rId133" Type="http://schemas.openxmlformats.org/officeDocument/2006/relationships/hyperlink" Target="http://www.tdsb.on.ca/specialeducation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51" Type="http://schemas.openxmlformats.org/officeDocument/2006/relationships/hyperlink" Target="http://edu.gov.on.ca/eng/general/elemsec/speced/guide/resource/index.html" TargetMode="External"/><Relationship Id="rId50" Type="http://schemas.openxmlformats.org/officeDocument/2006/relationships/hyperlink" Target="http://edu.gov.on.ca/eng/general/elemsec/speced/guide/resource/index.html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http://edu.gov.on.ca/eng/general/elemsec/speced/guide/resource/index.html" TargetMode="External"/><Relationship Id="rId5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WSFUJuI75VFhueUkyl0PLXZJg==">AMUW2mUB4afEJlAYpdcu/1hBuikGdVBf7WO+S8xB2LGHFOhvR7sVBK/OUy5Iyl0gXQNG87/wXPWAWHDVhECr9u3UUQzz2PNijciyM+60UbLBJSPsYFpwJLY=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2021-11-06T13:12:00Z</dcterms:created>
  <dc:creator>Firoozeh Ardeshiri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2021-10-30T00:00:00Z</vt:filetime>
  </property>
</Properties>
</file>