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6DFF" w14:textId="77777777" w:rsidR="00051C7D" w:rsidRDefault="00DB2D6A">
      <w:pPr>
        <w:pBdr>
          <w:top w:val="nil"/>
          <w:left w:val="nil"/>
          <w:bottom w:val="nil"/>
          <w:right w:val="nil"/>
          <w:between w:val="nil"/>
        </w:pBdr>
        <w:spacing w:before="0" w:after="0" w:line="240" w:lineRule="auto"/>
        <w:rPr>
          <w:color w:val="000000"/>
        </w:rPr>
      </w:pPr>
      <w:r>
        <w:rPr>
          <w:noProof/>
          <w:color w:val="000000"/>
        </w:rPr>
        <w:drawing>
          <wp:inline distT="0" distB="0" distL="0" distR="0" wp14:anchorId="733CB5A9" wp14:editId="7B121186">
            <wp:extent cx="8821639" cy="1537416"/>
            <wp:effectExtent l="0" t="0" r="0" b="0"/>
            <wp:docPr id="1" name="image1.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1.png" descr="Community Advisory Committees Header"/>
                    <pic:cNvPicPr preferRelativeResize="0"/>
                  </pic:nvPicPr>
                  <pic:blipFill>
                    <a:blip r:embed="rId9"/>
                    <a:srcRect/>
                    <a:stretch>
                      <a:fillRect/>
                    </a:stretch>
                  </pic:blipFill>
                  <pic:spPr>
                    <a:xfrm>
                      <a:off x="0" y="0"/>
                      <a:ext cx="8821639" cy="1537416"/>
                    </a:xfrm>
                    <a:prstGeom prst="rect">
                      <a:avLst/>
                    </a:prstGeom>
                    <a:ln/>
                  </pic:spPr>
                </pic:pic>
              </a:graphicData>
            </a:graphic>
          </wp:inline>
        </w:drawing>
      </w:r>
    </w:p>
    <w:p w14:paraId="6A25BA2F" w14:textId="77777777" w:rsidR="00051C7D" w:rsidRDefault="00DB2D6A">
      <w:pPr>
        <w:pStyle w:val="Heading1"/>
      </w:pPr>
      <w:r>
        <w:t>French as a Second Language Community Advisory Committee</w:t>
      </w:r>
    </w:p>
    <w:p w14:paraId="4464993B" w14:textId="7FA8BD5B" w:rsidR="00051C7D" w:rsidRDefault="00DB2D6A">
      <w:pPr>
        <w:pStyle w:val="Heading1"/>
      </w:pPr>
      <w:r>
        <w:t xml:space="preserve">Meeting Date: </w:t>
      </w:r>
      <w:r w:rsidR="003E7264">
        <w:t>April 16</w:t>
      </w:r>
      <w:r w:rsidR="00FC7615">
        <w:t>, 2024</w:t>
      </w:r>
    </w:p>
    <w:p w14:paraId="62574572" w14:textId="50A1037C" w:rsidR="00051C7D" w:rsidRDefault="00DB2D6A">
      <w:pPr>
        <w:tabs>
          <w:tab w:val="left" w:pos="2880"/>
        </w:tabs>
      </w:pPr>
      <w:r>
        <w:t>A meeting of the French as a Second Language Community Advisory Committee convened from 7:00 pm to 9:00 pm in Committee Room A and via virtual Zoom meeting, with Parent Co-</w:t>
      </w:r>
      <w:r w:rsidR="00A4483B">
        <w:t>Chair</w:t>
      </w:r>
      <w:r>
        <w:t xml:space="preserve"> Lynne LeBlanc presiding.</w:t>
      </w:r>
    </w:p>
    <w:tbl>
      <w:tblPr>
        <w:tblStyle w:val="a"/>
        <w:tblW w:w="129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13"/>
        <w:gridCol w:w="11137"/>
      </w:tblGrid>
      <w:tr w:rsidR="00051C7D" w14:paraId="0032D8BE" w14:textId="77777777">
        <w:trPr>
          <w:trHeight w:val="384"/>
        </w:trPr>
        <w:tc>
          <w:tcPr>
            <w:tcW w:w="1813" w:type="dxa"/>
            <w:shd w:val="clear" w:color="auto" w:fill="D9D9D9"/>
          </w:tcPr>
          <w:p w14:paraId="49101E86" w14:textId="77777777" w:rsidR="00051C7D" w:rsidRDefault="00DB2D6A">
            <w:pPr>
              <w:spacing w:before="0" w:after="0"/>
              <w:jc w:val="center"/>
              <w:rPr>
                <w:b/>
              </w:rPr>
            </w:pPr>
            <w:r>
              <w:rPr>
                <w:b/>
              </w:rPr>
              <w:t>Item</w:t>
            </w:r>
          </w:p>
        </w:tc>
        <w:tc>
          <w:tcPr>
            <w:tcW w:w="11137" w:type="dxa"/>
            <w:shd w:val="clear" w:color="auto" w:fill="D9D9D9"/>
          </w:tcPr>
          <w:p w14:paraId="0A6FDB0B" w14:textId="77777777" w:rsidR="00051C7D" w:rsidRDefault="00DB2D6A">
            <w:pPr>
              <w:spacing w:before="0" w:after="0"/>
              <w:jc w:val="center"/>
              <w:rPr>
                <w:b/>
              </w:rPr>
            </w:pPr>
            <w:r>
              <w:rPr>
                <w:b/>
              </w:rPr>
              <w:t>Invitee Name</w:t>
            </w:r>
          </w:p>
        </w:tc>
      </w:tr>
      <w:tr w:rsidR="00051C7D" w14:paraId="1F4E667E" w14:textId="77777777">
        <w:trPr>
          <w:trHeight w:val="1930"/>
        </w:trPr>
        <w:tc>
          <w:tcPr>
            <w:tcW w:w="1813" w:type="dxa"/>
          </w:tcPr>
          <w:p w14:paraId="39B196CA" w14:textId="77777777" w:rsidR="00051C7D" w:rsidRDefault="00DB2D6A">
            <w:pPr>
              <w:spacing w:before="0" w:after="0"/>
            </w:pPr>
            <w:r>
              <w:rPr>
                <w:b/>
              </w:rPr>
              <w:t>Attended</w:t>
            </w:r>
            <w:r>
              <w:t>:</w:t>
            </w:r>
          </w:p>
          <w:p w14:paraId="6CF28BD6" w14:textId="77777777" w:rsidR="00051C7D" w:rsidRDefault="00051C7D">
            <w:pPr>
              <w:spacing w:before="0" w:after="0"/>
            </w:pPr>
          </w:p>
          <w:p w14:paraId="2FEB91C5" w14:textId="77777777" w:rsidR="00051C7D" w:rsidRDefault="00051C7D">
            <w:pPr>
              <w:spacing w:before="0" w:after="0"/>
            </w:pPr>
          </w:p>
        </w:tc>
        <w:tc>
          <w:tcPr>
            <w:tcW w:w="11137" w:type="dxa"/>
          </w:tcPr>
          <w:p w14:paraId="7B44044F" w14:textId="32151237" w:rsidR="00051C7D" w:rsidRDefault="00DB2D6A">
            <w:pPr>
              <w:spacing w:before="0" w:after="0"/>
            </w:pPr>
            <w:r>
              <w:t>Lynne LeBlanc (Parent Co-</w:t>
            </w:r>
            <w:r w:rsidR="00A4483B">
              <w:t>Chair</w:t>
            </w:r>
            <w:r>
              <w:t xml:space="preserve"> W8), Charles Zhu (Parent Vice Co-</w:t>
            </w:r>
            <w:r w:rsidR="00A4483B">
              <w:t>Chair</w:t>
            </w:r>
            <w:r>
              <w:t xml:space="preserve"> W11), Sharlene Henry (Parent Vice Co-</w:t>
            </w:r>
            <w:r w:rsidR="00A4483B">
              <w:t>Chair</w:t>
            </w:r>
            <w:r>
              <w:t>, W5/W6 Alt), Lisa McAvoy (Parent Vice Co-</w:t>
            </w:r>
            <w:r w:rsidR="00A4483B">
              <w:t>Chair</w:t>
            </w:r>
            <w:r>
              <w:t xml:space="preserve"> W2), </w:t>
            </w:r>
            <w:r w:rsidR="0037780B">
              <w:t xml:space="preserve">Maeve Gray (W10), </w:t>
            </w:r>
            <w:r>
              <w:t>Randy Samuel (W14),</w:t>
            </w:r>
            <w:r w:rsidR="0037780B">
              <w:t xml:space="preserve"> </w:t>
            </w:r>
            <w:r w:rsidR="00FC7615">
              <w:t>Moosa Anwar (W19</w:t>
            </w:r>
            <w:r w:rsidR="0037780B">
              <w:t>), Gail Miller (W22)</w:t>
            </w:r>
            <w:r w:rsidR="00F22ACA">
              <w:t xml:space="preserve">. </w:t>
            </w:r>
            <w:r>
              <w:t xml:space="preserve"> Also present: Mary Cruden (Canadian Parents for French), Trustee </w:t>
            </w:r>
            <w:r w:rsidR="00FC7615">
              <w:t xml:space="preserve">Dan MacLean </w:t>
            </w:r>
            <w:r>
              <w:t>(Trustee Co-</w:t>
            </w:r>
            <w:r w:rsidR="00A4483B">
              <w:t>Chair</w:t>
            </w:r>
            <w:r>
              <w:t xml:space="preserve"> W</w:t>
            </w:r>
            <w:r w:rsidR="00FC7615">
              <w:t>2</w:t>
            </w:r>
            <w:r>
              <w:t>),</w:t>
            </w:r>
            <w:r w:rsidR="00FC7615">
              <w:t xml:space="preserve"> Trustee </w:t>
            </w:r>
            <w:r w:rsidR="00270FDB">
              <w:t>Dennis Hastings</w:t>
            </w:r>
            <w:r w:rsidR="00FC7615">
              <w:t xml:space="preserve"> (W1),</w:t>
            </w:r>
            <w:r>
              <w:t xml:space="preserve"> </w:t>
            </w:r>
            <w:r w:rsidR="000D4481">
              <w:t xml:space="preserve">Audley Salmon (Staff Co-Lead), </w:t>
            </w:r>
            <w:r>
              <w:t>Roni Felsen (Staff Co-Lead), Angela Caccamo (Centrally Assigned Principal)</w:t>
            </w:r>
            <w:r w:rsidR="00FC7615">
              <w:t>, Kirsten Johnston (Program Co-ordinator)</w:t>
            </w:r>
            <w:r w:rsidR="005A5E17">
              <w:t>.</w:t>
            </w:r>
          </w:p>
          <w:p w14:paraId="7B66516B" w14:textId="77777777" w:rsidR="00051C7D" w:rsidRDefault="00051C7D">
            <w:pPr>
              <w:spacing w:before="0" w:after="0"/>
              <w:rPr>
                <w:highlight w:val="yellow"/>
              </w:rPr>
            </w:pPr>
          </w:p>
        </w:tc>
      </w:tr>
      <w:tr w:rsidR="00051C7D" w14:paraId="7561ACA9" w14:textId="77777777">
        <w:trPr>
          <w:trHeight w:val="803"/>
        </w:trPr>
        <w:tc>
          <w:tcPr>
            <w:tcW w:w="1813" w:type="dxa"/>
          </w:tcPr>
          <w:p w14:paraId="1DBEA38D" w14:textId="77777777" w:rsidR="00051C7D" w:rsidRDefault="00DB2D6A">
            <w:pPr>
              <w:spacing w:before="0" w:after="0"/>
              <w:rPr>
                <w:b/>
              </w:rPr>
            </w:pPr>
            <w:r>
              <w:rPr>
                <w:b/>
              </w:rPr>
              <w:t>Guests:</w:t>
            </w:r>
          </w:p>
        </w:tc>
        <w:tc>
          <w:tcPr>
            <w:tcW w:w="11137" w:type="dxa"/>
          </w:tcPr>
          <w:p w14:paraId="34E2A1B0" w14:textId="77777777" w:rsidR="00051C7D" w:rsidRDefault="00051C7D" w:rsidP="00270FDB">
            <w:pPr>
              <w:spacing w:before="0" w:after="0"/>
            </w:pPr>
          </w:p>
        </w:tc>
      </w:tr>
      <w:tr w:rsidR="00051C7D" w14:paraId="62AD5711" w14:textId="77777777">
        <w:trPr>
          <w:trHeight w:val="905"/>
        </w:trPr>
        <w:tc>
          <w:tcPr>
            <w:tcW w:w="1813" w:type="dxa"/>
          </w:tcPr>
          <w:p w14:paraId="3F29B36D" w14:textId="17A5A5DF" w:rsidR="00051C7D" w:rsidRDefault="00DB2D6A">
            <w:pPr>
              <w:spacing w:before="0" w:after="0"/>
              <w:rPr>
                <w:b/>
              </w:rPr>
            </w:pPr>
            <w:bookmarkStart w:id="0" w:name="_heading=h.gjdgxs" w:colFirst="0" w:colLast="0"/>
            <w:bookmarkEnd w:id="0"/>
            <w:r>
              <w:rPr>
                <w:b/>
              </w:rPr>
              <w:t>Regret</w:t>
            </w:r>
            <w:r w:rsidR="00A238BE">
              <w:rPr>
                <w:b/>
              </w:rPr>
              <w:t>s</w:t>
            </w:r>
            <w:r>
              <w:t>:</w:t>
            </w:r>
          </w:p>
          <w:p w14:paraId="3DD522F5" w14:textId="77777777" w:rsidR="00051C7D" w:rsidRDefault="00051C7D">
            <w:pPr>
              <w:spacing w:before="0" w:after="0"/>
              <w:rPr>
                <w:b/>
              </w:rPr>
            </w:pPr>
          </w:p>
        </w:tc>
        <w:tc>
          <w:tcPr>
            <w:tcW w:w="11137" w:type="dxa"/>
          </w:tcPr>
          <w:p w14:paraId="34AAD9FC" w14:textId="6D688E09" w:rsidR="00051C7D" w:rsidRDefault="00DB2D6A">
            <w:pPr>
              <w:spacing w:before="0" w:after="0"/>
            </w:pPr>
            <w:r>
              <w:t>Michelle Munroe (Central Co-ordinator PCE), Mandy Moore (W7),</w:t>
            </w:r>
            <w:r w:rsidR="00270FDB">
              <w:t xml:space="preserve"> </w:t>
            </w:r>
            <w:r>
              <w:t xml:space="preserve">Elizabeth Carvalho (W7 Alt), </w:t>
            </w:r>
            <w:r w:rsidR="00576718">
              <w:t>Cheryl Batty (W8 Alt),</w:t>
            </w:r>
            <w:r w:rsidR="00270FDB">
              <w:t xml:space="preserve"> </w:t>
            </w:r>
            <w:r w:rsidR="0037780B">
              <w:t xml:space="preserve">Divya Chandra (W11 Alt), </w:t>
            </w:r>
            <w:r w:rsidR="00763FAB">
              <w:t xml:space="preserve">Madelaine Hamilton (W16), </w:t>
            </w:r>
            <w:r w:rsidR="0037780B">
              <w:t xml:space="preserve">Zuojun Han (W20), </w:t>
            </w:r>
            <w:r w:rsidR="00270FDB">
              <w:t>Sharon Beason (CP</w:t>
            </w:r>
            <w:r w:rsidR="0037780B">
              <w:t>F</w:t>
            </w:r>
            <w:r w:rsidR="00270FDB">
              <w:t xml:space="preserve"> Alt), </w:t>
            </w:r>
            <w:r>
              <w:t>Rosemary Sutherland (CPF Alt)</w:t>
            </w:r>
            <w:r w:rsidR="005A5E17">
              <w:t>.</w:t>
            </w:r>
          </w:p>
          <w:p w14:paraId="19796F3E" w14:textId="77777777" w:rsidR="00051C7D" w:rsidRDefault="00051C7D">
            <w:pPr>
              <w:spacing w:before="0" w:after="0"/>
              <w:rPr>
                <w:highlight w:val="yellow"/>
              </w:rPr>
            </w:pPr>
          </w:p>
        </w:tc>
      </w:tr>
      <w:tr w:rsidR="00051C7D" w14:paraId="244E9497" w14:textId="77777777">
        <w:trPr>
          <w:trHeight w:val="340"/>
        </w:trPr>
        <w:tc>
          <w:tcPr>
            <w:tcW w:w="1813" w:type="dxa"/>
          </w:tcPr>
          <w:p w14:paraId="2EF21433" w14:textId="77777777" w:rsidR="00051C7D" w:rsidRDefault="00DB2D6A">
            <w:pPr>
              <w:spacing w:before="0" w:after="0"/>
              <w:rPr>
                <w:b/>
              </w:rPr>
            </w:pPr>
            <w:r>
              <w:rPr>
                <w:b/>
              </w:rPr>
              <w:t>Recorder:</w:t>
            </w:r>
          </w:p>
        </w:tc>
        <w:tc>
          <w:tcPr>
            <w:tcW w:w="11137" w:type="dxa"/>
          </w:tcPr>
          <w:p w14:paraId="17FDA705" w14:textId="77777777" w:rsidR="00051C7D" w:rsidRDefault="00DB2D6A">
            <w:pPr>
              <w:spacing w:before="0" w:after="0"/>
            </w:pPr>
            <w:r>
              <w:t>James Jarrett</w:t>
            </w:r>
          </w:p>
          <w:p w14:paraId="78FD3105" w14:textId="77777777" w:rsidR="00051C7D" w:rsidRDefault="00051C7D">
            <w:pPr>
              <w:spacing w:before="0" w:after="0"/>
            </w:pPr>
          </w:p>
        </w:tc>
      </w:tr>
    </w:tbl>
    <w:p w14:paraId="75A71D6C" w14:textId="77777777" w:rsidR="00051C7D" w:rsidRDefault="00051C7D">
      <w:pPr>
        <w:widowControl w:val="0"/>
        <w:pBdr>
          <w:top w:val="nil"/>
          <w:left w:val="nil"/>
          <w:bottom w:val="nil"/>
          <w:right w:val="nil"/>
          <w:between w:val="nil"/>
        </w:pBdr>
        <w:spacing w:before="0" w:after="0"/>
      </w:pPr>
    </w:p>
    <w:tbl>
      <w:tblPr>
        <w:tblStyle w:val="a0"/>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9355"/>
        <w:gridCol w:w="2127"/>
      </w:tblGrid>
      <w:tr w:rsidR="00051C7D" w14:paraId="34EF67F7" w14:textId="77777777" w:rsidTr="00051C7D">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1980" w:type="dxa"/>
            <w:tcBorders>
              <w:bottom w:val="nil"/>
            </w:tcBorders>
            <w:shd w:val="clear" w:color="auto" w:fill="D9D9D9"/>
          </w:tcPr>
          <w:p w14:paraId="2720BDC2" w14:textId="77777777" w:rsidR="00051C7D" w:rsidRDefault="00DB2D6A">
            <w:pPr>
              <w:spacing w:before="0" w:after="0"/>
              <w:jc w:val="center"/>
            </w:pPr>
            <w:r>
              <w:lastRenderedPageBreak/>
              <w:t>Item</w:t>
            </w:r>
          </w:p>
        </w:tc>
        <w:tc>
          <w:tcPr>
            <w:tcW w:w="9355" w:type="dxa"/>
            <w:tcBorders>
              <w:bottom w:val="nil"/>
            </w:tcBorders>
            <w:shd w:val="clear" w:color="auto" w:fill="D9D9D9"/>
          </w:tcPr>
          <w:p w14:paraId="2E1C8954" w14:textId="77777777" w:rsidR="00051C7D" w:rsidRDefault="00DB2D6A">
            <w:pPr>
              <w:spacing w:before="0" w:after="0"/>
              <w:jc w:val="center"/>
              <w:cnfStyle w:val="100000000000" w:firstRow="1" w:lastRow="0" w:firstColumn="0" w:lastColumn="0" w:oddVBand="0" w:evenVBand="0" w:oddHBand="0" w:evenHBand="0" w:firstRowFirstColumn="0" w:firstRowLastColumn="0" w:lastRowFirstColumn="0" w:lastRowLastColumn="0"/>
            </w:pPr>
            <w:r>
              <w:t>Discussion</w:t>
            </w:r>
          </w:p>
        </w:tc>
        <w:tc>
          <w:tcPr>
            <w:tcW w:w="2127" w:type="dxa"/>
            <w:tcBorders>
              <w:bottom w:val="nil"/>
            </w:tcBorders>
            <w:shd w:val="clear" w:color="auto" w:fill="D9D9D9"/>
          </w:tcPr>
          <w:p w14:paraId="17CD2ACB" w14:textId="77777777" w:rsidR="00051C7D" w:rsidRDefault="00DB2D6A">
            <w:pPr>
              <w:spacing w:before="0" w:after="0"/>
              <w:jc w:val="center"/>
              <w:cnfStyle w:val="100000000000" w:firstRow="1" w:lastRow="0" w:firstColumn="0" w:lastColumn="0" w:oddVBand="0" w:evenVBand="0" w:oddHBand="0" w:evenHBand="0" w:firstRowFirstColumn="0" w:firstRowLastColumn="0" w:lastRowFirstColumn="0" w:lastRowLastColumn="0"/>
            </w:pPr>
            <w:r>
              <w:t xml:space="preserve"> Motion / Action</w:t>
            </w:r>
          </w:p>
        </w:tc>
      </w:tr>
      <w:tr w:rsidR="00051C7D" w14:paraId="0A1A64B7" w14:textId="77777777" w:rsidTr="00051C7D">
        <w:trPr>
          <w:trHeight w:val="580"/>
        </w:trPr>
        <w:tc>
          <w:tcPr>
            <w:cnfStyle w:val="001000000000" w:firstRow="0" w:lastRow="0" w:firstColumn="1" w:lastColumn="0" w:oddVBand="0" w:evenVBand="0" w:oddHBand="0" w:evenHBand="0" w:firstRowFirstColumn="0" w:firstRowLastColumn="0" w:lastRowFirstColumn="0" w:lastRowLastColumn="0"/>
            <w:tcW w:w="1980" w:type="dxa"/>
          </w:tcPr>
          <w:p w14:paraId="5F744DBD" w14:textId="77777777" w:rsidR="00051C7D" w:rsidRDefault="00DB2D6A">
            <w:pPr>
              <w:spacing w:before="0" w:after="0"/>
            </w:pPr>
            <w:r>
              <w:rPr>
                <w:b w:val="0"/>
              </w:rPr>
              <w:t>1. Call to Order</w:t>
            </w:r>
          </w:p>
        </w:tc>
        <w:tc>
          <w:tcPr>
            <w:tcW w:w="9355" w:type="dxa"/>
          </w:tcPr>
          <w:p w14:paraId="0BD731CA" w14:textId="5F1DE91A" w:rsidR="00051C7D" w:rsidRDefault="00DB2D6A">
            <w:pPr>
              <w:numPr>
                <w:ilvl w:val="0"/>
                <w:numId w:val="1"/>
              </w:numPr>
              <w:spacing w:before="0" w:after="0"/>
              <w:ind w:left="357"/>
              <w:cnfStyle w:val="000000000000" w:firstRow="0" w:lastRow="0" w:firstColumn="0" w:lastColumn="0" w:oddVBand="0" w:evenVBand="0" w:oddHBand="0" w:evenHBand="0" w:firstRowFirstColumn="0" w:firstRowLastColumn="0" w:lastRowFirstColumn="0" w:lastRowLastColumn="0"/>
            </w:pPr>
            <w:r>
              <w:t>Land acknowledgment – Lynne LeBlanc</w:t>
            </w:r>
          </w:p>
          <w:p w14:paraId="599DDBF6" w14:textId="198471C6" w:rsidR="00051C7D" w:rsidRDefault="00DB2D6A">
            <w:pPr>
              <w:numPr>
                <w:ilvl w:val="0"/>
                <w:numId w:val="1"/>
              </w:numPr>
              <w:spacing w:before="0" w:after="0"/>
              <w:ind w:left="357"/>
              <w:cnfStyle w:val="000000000000" w:firstRow="0" w:lastRow="0" w:firstColumn="0" w:lastColumn="0" w:oddVBand="0" w:evenVBand="0" w:oddHBand="0" w:evenHBand="0" w:firstRowFirstColumn="0" w:firstRowLastColumn="0" w:lastRowFirstColumn="0" w:lastRowLastColumn="0"/>
            </w:pPr>
            <w:r>
              <w:t xml:space="preserve">Meeting recorded for minute taking </w:t>
            </w:r>
            <w:proofErr w:type="gramStart"/>
            <w:r>
              <w:t>purposes</w:t>
            </w:r>
            <w:proofErr w:type="gramEnd"/>
          </w:p>
          <w:p w14:paraId="2E7EEC71" w14:textId="77777777" w:rsidR="00051C7D" w:rsidRDefault="005D0AD4" w:rsidP="0037780B">
            <w:pPr>
              <w:numPr>
                <w:ilvl w:val="0"/>
                <w:numId w:val="1"/>
              </w:numPr>
              <w:spacing w:before="0" w:after="0"/>
              <w:ind w:left="357"/>
              <w:cnfStyle w:val="000000000000" w:firstRow="0" w:lastRow="0" w:firstColumn="0" w:lastColumn="0" w:oddVBand="0" w:evenVBand="0" w:oddHBand="0" w:evenHBand="0" w:firstRowFirstColumn="0" w:firstRowLastColumn="0" w:lastRowFirstColumn="0" w:lastRowLastColumn="0"/>
            </w:pPr>
            <w:r>
              <w:t>Introductions</w:t>
            </w:r>
          </w:p>
          <w:p w14:paraId="180C5472" w14:textId="022ED64D" w:rsidR="00A238BE" w:rsidRDefault="00A238BE" w:rsidP="00A238BE">
            <w:pPr>
              <w:spacing w:before="0" w:after="0"/>
              <w:ind w:left="357"/>
              <w:cnfStyle w:val="000000000000" w:firstRow="0" w:lastRow="0" w:firstColumn="0" w:lastColumn="0" w:oddVBand="0" w:evenVBand="0" w:oddHBand="0" w:evenHBand="0" w:firstRowFirstColumn="0" w:firstRowLastColumn="0" w:lastRowFirstColumn="0" w:lastRowLastColumn="0"/>
            </w:pPr>
          </w:p>
        </w:tc>
        <w:tc>
          <w:tcPr>
            <w:tcW w:w="2127" w:type="dxa"/>
          </w:tcPr>
          <w:p w14:paraId="2C10585B" w14:textId="77777777" w:rsidR="00051C7D" w:rsidRDefault="00051C7D">
            <w:pPr>
              <w:spacing w:before="0" w:after="0"/>
              <w:cnfStyle w:val="000000000000" w:firstRow="0" w:lastRow="0" w:firstColumn="0" w:lastColumn="0" w:oddVBand="0" w:evenVBand="0" w:oddHBand="0" w:evenHBand="0" w:firstRowFirstColumn="0" w:firstRowLastColumn="0" w:lastRowFirstColumn="0" w:lastRowLastColumn="0"/>
            </w:pPr>
          </w:p>
        </w:tc>
      </w:tr>
      <w:tr w:rsidR="00051C7D" w14:paraId="69BEA224" w14:textId="77777777" w:rsidTr="00051C7D">
        <w:trPr>
          <w:trHeight w:val="586"/>
        </w:trPr>
        <w:tc>
          <w:tcPr>
            <w:cnfStyle w:val="001000000000" w:firstRow="0" w:lastRow="0" w:firstColumn="1" w:lastColumn="0" w:oddVBand="0" w:evenVBand="0" w:oddHBand="0" w:evenHBand="0" w:firstRowFirstColumn="0" w:firstRowLastColumn="0" w:lastRowFirstColumn="0" w:lastRowLastColumn="0"/>
            <w:tcW w:w="1980" w:type="dxa"/>
          </w:tcPr>
          <w:p w14:paraId="3196892A" w14:textId="77777777" w:rsidR="00051C7D" w:rsidRDefault="00DB2D6A">
            <w:pPr>
              <w:spacing w:before="0" w:after="0"/>
            </w:pPr>
            <w:r>
              <w:rPr>
                <w:b w:val="0"/>
              </w:rPr>
              <w:t>2. Quorum / Membership Changes</w:t>
            </w:r>
          </w:p>
        </w:tc>
        <w:tc>
          <w:tcPr>
            <w:tcW w:w="9355" w:type="dxa"/>
          </w:tcPr>
          <w:p w14:paraId="1CB88393" w14:textId="4DC152F4" w:rsidR="005D0AD4" w:rsidRDefault="00DB2D6A" w:rsidP="005D0AD4">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 xml:space="preserve">Quorum </w:t>
            </w:r>
            <w:proofErr w:type="gramStart"/>
            <w:r>
              <w:t>met</w:t>
            </w:r>
            <w:proofErr w:type="gramEnd"/>
            <w:r>
              <w:t xml:space="preserve"> </w:t>
            </w:r>
          </w:p>
          <w:p w14:paraId="0D33884C" w14:textId="323A15D9" w:rsidR="009F638C" w:rsidRDefault="009F638C" w:rsidP="005D0AD4">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No membership changes</w:t>
            </w:r>
          </w:p>
        </w:tc>
        <w:tc>
          <w:tcPr>
            <w:tcW w:w="2127" w:type="dxa"/>
          </w:tcPr>
          <w:p w14:paraId="0D0090C6" w14:textId="77777777" w:rsidR="00051C7D" w:rsidRDefault="00051C7D">
            <w:pPr>
              <w:spacing w:before="0" w:after="0"/>
              <w:cnfStyle w:val="000000000000" w:firstRow="0" w:lastRow="0" w:firstColumn="0" w:lastColumn="0" w:oddVBand="0" w:evenVBand="0" w:oddHBand="0" w:evenHBand="0" w:firstRowFirstColumn="0" w:firstRowLastColumn="0" w:lastRowFirstColumn="0" w:lastRowLastColumn="0"/>
            </w:pPr>
          </w:p>
        </w:tc>
      </w:tr>
      <w:tr w:rsidR="00051C7D" w14:paraId="5DB075D8" w14:textId="77777777" w:rsidTr="00051C7D">
        <w:trPr>
          <w:trHeight w:val="606"/>
        </w:trPr>
        <w:tc>
          <w:tcPr>
            <w:cnfStyle w:val="001000000000" w:firstRow="0" w:lastRow="0" w:firstColumn="1" w:lastColumn="0" w:oddVBand="0" w:evenVBand="0" w:oddHBand="0" w:evenHBand="0" w:firstRowFirstColumn="0" w:firstRowLastColumn="0" w:lastRowFirstColumn="0" w:lastRowLastColumn="0"/>
            <w:tcW w:w="1980" w:type="dxa"/>
          </w:tcPr>
          <w:p w14:paraId="515F3158" w14:textId="77777777" w:rsidR="00051C7D" w:rsidRDefault="00DB2D6A">
            <w:pPr>
              <w:spacing w:before="0" w:after="0"/>
            </w:pPr>
            <w:r>
              <w:rPr>
                <w:b w:val="0"/>
              </w:rPr>
              <w:t>3. Approval of Agenda</w:t>
            </w:r>
          </w:p>
        </w:tc>
        <w:tc>
          <w:tcPr>
            <w:tcW w:w="9355" w:type="dxa"/>
          </w:tcPr>
          <w:p w14:paraId="0C27738E" w14:textId="20BB6BC8" w:rsidR="005D0AD4" w:rsidRDefault="005D0AD4">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Item 8 Moved to 6 on the Agenda.</w:t>
            </w:r>
          </w:p>
          <w:p w14:paraId="4BF4D6E2" w14:textId="564169D7" w:rsidR="00051C7D" w:rsidRDefault="005D0AD4">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Lisa McAvoy Moves</w:t>
            </w:r>
            <w:r w:rsidR="00DB2D6A">
              <w:t xml:space="preserve">, </w:t>
            </w:r>
            <w:r>
              <w:t>Randy Samuel</w:t>
            </w:r>
            <w:r w:rsidR="00DB2D6A">
              <w:t xml:space="preserve"> seconds. Carried.</w:t>
            </w:r>
          </w:p>
          <w:p w14:paraId="0AE474BF" w14:textId="77777777" w:rsidR="00051C7D" w:rsidRDefault="00051C7D">
            <w:pPr>
              <w:spacing w:before="0" w:after="0"/>
              <w:ind w:left="360"/>
              <w:cnfStyle w:val="000000000000" w:firstRow="0" w:lastRow="0" w:firstColumn="0" w:lastColumn="0" w:oddVBand="0" w:evenVBand="0" w:oddHBand="0" w:evenHBand="0" w:firstRowFirstColumn="0" w:firstRowLastColumn="0" w:lastRowFirstColumn="0" w:lastRowLastColumn="0"/>
            </w:pPr>
          </w:p>
        </w:tc>
        <w:tc>
          <w:tcPr>
            <w:tcW w:w="2127" w:type="dxa"/>
          </w:tcPr>
          <w:p w14:paraId="795F724A" w14:textId="77777777" w:rsidR="00051C7D" w:rsidRDefault="00051C7D">
            <w:pPr>
              <w:spacing w:before="0" w:after="0"/>
              <w:cnfStyle w:val="000000000000" w:firstRow="0" w:lastRow="0" w:firstColumn="0" w:lastColumn="0" w:oddVBand="0" w:evenVBand="0" w:oddHBand="0" w:evenHBand="0" w:firstRowFirstColumn="0" w:firstRowLastColumn="0" w:lastRowFirstColumn="0" w:lastRowLastColumn="0"/>
            </w:pPr>
          </w:p>
        </w:tc>
      </w:tr>
      <w:tr w:rsidR="00051C7D" w14:paraId="263941ED" w14:textId="77777777" w:rsidTr="00051C7D">
        <w:trPr>
          <w:trHeight w:val="576"/>
        </w:trPr>
        <w:tc>
          <w:tcPr>
            <w:cnfStyle w:val="001000000000" w:firstRow="0" w:lastRow="0" w:firstColumn="1" w:lastColumn="0" w:oddVBand="0" w:evenVBand="0" w:oddHBand="0" w:evenHBand="0" w:firstRowFirstColumn="0" w:firstRowLastColumn="0" w:lastRowFirstColumn="0" w:lastRowLastColumn="0"/>
            <w:tcW w:w="1980" w:type="dxa"/>
          </w:tcPr>
          <w:p w14:paraId="55A5CE23" w14:textId="044F7128" w:rsidR="00051C7D" w:rsidRDefault="00DB2D6A">
            <w:pPr>
              <w:spacing w:before="0" w:after="0"/>
            </w:pPr>
            <w:r>
              <w:rPr>
                <w:b w:val="0"/>
              </w:rPr>
              <w:t xml:space="preserve">4. Approval of   </w:t>
            </w:r>
            <w:r w:rsidR="00DC1023">
              <w:rPr>
                <w:b w:val="0"/>
              </w:rPr>
              <w:t>March 19, 2024 Minutes</w:t>
            </w:r>
          </w:p>
        </w:tc>
        <w:tc>
          <w:tcPr>
            <w:tcW w:w="9355" w:type="dxa"/>
          </w:tcPr>
          <w:p w14:paraId="7C2A5C81" w14:textId="443F0264" w:rsidR="00A06C00" w:rsidRPr="003E7264" w:rsidRDefault="005D0AD4" w:rsidP="00A06C00">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rPr>
                <w:lang w:val="en-US"/>
              </w:rPr>
            </w:pPr>
            <w:r w:rsidRPr="003E7264">
              <w:rPr>
                <w:color w:val="000000"/>
                <w:lang w:val="en-US"/>
              </w:rPr>
              <w:t>Minutes deferred to next meeting</w:t>
            </w:r>
            <w:r w:rsidR="00A06C00" w:rsidRPr="003E7264">
              <w:rPr>
                <w:lang w:val="en-US"/>
              </w:rPr>
              <w:tab/>
            </w:r>
          </w:p>
        </w:tc>
        <w:tc>
          <w:tcPr>
            <w:tcW w:w="2127" w:type="dxa"/>
          </w:tcPr>
          <w:p w14:paraId="002BAA84" w14:textId="704F8230" w:rsidR="00051C7D" w:rsidRDefault="00051C7D">
            <w:pPr>
              <w:spacing w:before="0" w:after="0"/>
              <w:cnfStyle w:val="000000000000" w:firstRow="0" w:lastRow="0" w:firstColumn="0" w:lastColumn="0" w:oddVBand="0" w:evenVBand="0" w:oddHBand="0" w:evenHBand="0" w:firstRowFirstColumn="0" w:firstRowLastColumn="0" w:lastRowFirstColumn="0" w:lastRowLastColumn="0"/>
            </w:pPr>
          </w:p>
        </w:tc>
      </w:tr>
      <w:tr w:rsidR="00051C7D" w14:paraId="57B7BAEB" w14:textId="77777777" w:rsidTr="00051C7D">
        <w:trPr>
          <w:trHeight w:val="811"/>
        </w:trPr>
        <w:tc>
          <w:tcPr>
            <w:cnfStyle w:val="001000000000" w:firstRow="0" w:lastRow="0" w:firstColumn="1" w:lastColumn="0" w:oddVBand="0" w:evenVBand="0" w:oddHBand="0" w:evenHBand="0" w:firstRowFirstColumn="0" w:firstRowLastColumn="0" w:lastRowFirstColumn="0" w:lastRowLastColumn="0"/>
            <w:tcW w:w="1980" w:type="dxa"/>
          </w:tcPr>
          <w:p w14:paraId="6EB2DE11" w14:textId="3EEF63F0" w:rsidR="00051C7D" w:rsidRDefault="00DB2D6A">
            <w:pPr>
              <w:spacing w:after="0"/>
            </w:pPr>
            <w:r>
              <w:rPr>
                <w:b w:val="0"/>
              </w:rPr>
              <w:t>5. Declarations - Possible Conflict of Interest</w:t>
            </w:r>
          </w:p>
        </w:tc>
        <w:tc>
          <w:tcPr>
            <w:tcW w:w="9355" w:type="dxa"/>
          </w:tcPr>
          <w:p w14:paraId="686B29C2" w14:textId="090D7EEB" w:rsidR="0037780B" w:rsidRDefault="00C35B40" w:rsidP="00A06C00">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Gail Miller works as an emergency replacement person with the TDSB</w:t>
            </w:r>
            <w:r w:rsidR="00056F88">
              <w:t>.</w:t>
            </w:r>
          </w:p>
          <w:p w14:paraId="5EFE1228" w14:textId="423A76D1" w:rsidR="0019352E" w:rsidRDefault="00DB2D6A" w:rsidP="00A06C00">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Randy Samuel works as an emergency replacement person with the TDSB.</w:t>
            </w:r>
          </w:p>
        </w:tc>
        <w:tc>
          <w:tcPr>
            <w:tcW w:w="2127" w:type="dxa"/>
          </w:tcPr>
          <w:p w14:paraId="540B7C98" w14:textId="77777777" w:rsidR="00051C7D" w:rsidRDefault="00051C7D">
            <w:pPr>
              <w:spacing w:before="0" w:after="0"/>
              <w:ind w:left="720"/>
              <w:cnfStyle w:val="000000000000" w:firstRow="0" w:lastRow="0" w:firstColumn="0" w:lastColumn="0" w:oddVBand="0" w:evenVBand="0" w:oddHBand="0" w:evenHBand="0" w:firstRowFirstColumn="0" w:firstRowLastColumn="0" w:lastRowFirstColumn="0" w:lastRowLastColumn="0"/>
            </w:pPr>
          </w:p>
        </w:tc>
      </w:tr>
      <w:tr w:rsidR="00C35B40" w14:paraId="6EBA2DE3" w14:textId="77777777" w:rsidTr="00051C7D">
        <w:trPr>
          <w:trHeight w:val="701"/>
        </w:trPr>
        <w:tc>
          <w:tcPr>
            <w:cnfStyle w:val="001000000000" w:firstRow="0" w:lastRow="0" w:firstColumn="1" w:lastColumn="0" w:oddVBand="0" w:evenVBand="0" w:oddHBand="0" w:evenHBand="0" w:firstRowFirstColumn="0" w:firstRowLastColumn="0" w:lastRowFirstColumn="0" w:lastRowLastColumn="0"/>
            <w:tcW w:w="1980" w:type="dxa"/>
          </w:tcPr>
          <w:p w14:paraId="04AD7B57" w14:textId="7F267DD7" w:rsidR="00C35B40" w:rsidRPr="00056F88" w:rsidRDefault="00056F88">
            <w:pPr>
              <w:spacing w:after="0"/>
              <w:rPr>
                <w:b w:val="0"/>
                <w:bCs/>
              </w:rPr>
            </w:pPr>
            <w:r>
              <w:rPr>
                <w:b w:val="0"/>
                <w:bCs/>
              </w:rPr>
              <w:t xml:space="preserve">6. </w:t>
            </w:r>
            <w:r w:rsidRPr="00056F88">
              <w:rPr>
                <w:rFonts w:eastAsia="Times New Roman"/>
                <w:b w:val="0"/>
                <w:bCs/>
              </w:rPr>
              <w:t>Group Discussion – LOI Evaluation Messaging</w:t>
            </w:r>
          </w:p>
        </w:tc>
        <w:tc>
          <w:tcPr>
            <w:tcW w:w="9355" w:type="dxa"/>
          </w:tcPr>
          <w:p w14:paraId="1293DC06" w14:textId="607A125E" w:rsidR="00146A60" w:rsidRDefault="00210933" w:rsidP="00A4483B">
            <w:pPr>
              <w:pBdr>
                <w:top w:val="nil"/>
                <w:left w:val="nil"/>
                <w:bottom w:val="nil"/>
                <w:right w:val="nil"/>
                <w:between w:val="nil"/>
              </w:pBdr>
              <w:spacing w:before="0" w:after="0"/>
              <w:cnfStyle w:val="000000000000" w:firstRow="0" w:lastRow="0" w:firstColumn="0" w:lastColumn="0" w:oddVBand="0" w:evenVBand="0" w:oddHBand="0" w:evenHBand="0" w:firstRowFirstColumn="0" w:firstRowLastColumn="0" w:lastRowFirstColumn="0" w:lastRowLastColumn="0"/>
            </w:pPr>
            <w:r>
              <w:t>Parent Co-</w:t>
            </w:r>
            <w:r w:rsidR="00A4483B">
              <w:t>Chair</w:t>
            </w:r>
            <w:r>
              <w:t xml:space="preserve">: </w:t>
            </w:r>
          </w:p>
          <w:p w14:paraId="59F92111" w14:textId="687AFBB6" w:rsidR="00056F88" w:rsidRDefault="005D6FFF" w:rsidP="00146A60">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FI and the LOI has been </w:t>
            </w:r>
            <w:r w:rsidR="00AD5E1F">
              <w:t>on our radar this year with the upcoming review of the LOI policy</w:t>
            </w:r>
            <w:r>
              <w:t>, the ICCAC motion to remove FI from the LOI calculations</w:t>
            </w:r>
            <w:r w:rsidR="00AD5E1F">
              <w:t xml:space="preserve"> and the November </w:t>
            </w:r>
            <w:r w:rsidR="0091306E">
              <w:t xml:space="preserve">2023 </w:t>
            </w:r>
            <w:r w:rsidR="00AD5E1F">
              <w:t xml:space="preserve">motion by Trustee King. </w:t>
            </w:r>
            <w:r w:rsidR="000D6689">
              <w:t>Not counting FI students in school data</w:t>
            </w:r>
            <w:r w:rsidR="00653630">
              <w:t xml:space="preserve"> on LOI seems like a slippery slope. </w:t>
            </w:r>
            <w:r w:rsidR="004C4EF0">
              <w:t xml:space="preserve">Looked at data and it doesn’t </w:t>
            </w:r>
            <w:r w:rsidR="00056F88">
              <w:t>support that FI is a key factor changing LOI</w:t>
            </w:r>
            <w:r w:rsidR="0091306E">
              <w:t xml:space="preserve"> as some go up and others go down the index after introduction of FI</w:t>
            </w:r>
            <w:r w:rsidR="00056F88">
              <w:t>; neighbourhoods are changing across the city.</w:t>
            </w:r>
            <w:r w:rsidR="00146A60">
              <w:t xml:space="preserve"> Concerned that </w:t>
            </w:r>
            <w:r w:rsidR="00617B98">
              <w:t>French Immersion (</w:t>
            </w:r>
            <w:r w:rsidR="00056F88">
              <w:t>FI</w:t>
            </w:r>
            <w:r w:rsidR="00617B98">
              <w:t>)</w:t>
            </w:r>
            <w:r w:rsidR="00056F88">
              <w:t xml:space="preserve"> centres </w:t>
            </w:r>
            <w:r w:rsidR="00146A60">
              <w:t xml:space="preserve">which are entire schools would be left </w:t>
            </w:r>
            <w:r w:rsidR="00617B98">
              <w:t xml:space="preserve">out of </w:t>
            </w:r>
            <w:r w:rsidR="00056F88">
              <w:t>the LOI calculation.</w:t>
            </w:r>
            <w:r w:rsidR="00B344BF">
              <w:t xml:space="preserve"> I</w:t>
            </w:r>
            <w:r w:rsidR="00B344BF" w:rsidRPr="00B344BF">
              <w:t>f our motion passes here tonight, I’ll be able to speak to this issue if it arises and in the LOI consultation in the fall</w:t>
            </w:r>
            <w:r w:rsidR="005A5E17">
              <w:t>.</w:t>
            </w:r>
          </w:p>
          <w:p w14:paraId="3F54FCF8" w14:textId="70ABE33D" w:rsidR="00D556DE" w:rsidRDefault="00056F88" w:rsidP="00E071D0">
            <w:pPr>
              <w:pStyle w:val="ListParagraph"/>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Trustee </w:t>
            </w:r>
            <w:r w:rsidR="00E071D0">
              <w:t>Co-</w:t>
            </w:r>
            <w:r>
              <w:t xml:space="preserve">Chair: </w:t>
            </w:r>
            <w:r w:rsidR="00B344BF">
              <w:t xml:space="preserve">The Trustees received a report on LOI and FI which responded to the November motion and a broader report on LOI at their last </w:t>
            </w:r>
            <w:r w:rsidR="005A5E17">
              <w:t>m</w:t>
            </w:r>
            <w:r w:rsidR="00B344BF">
              <w:t>eeting.</w:t>
            </w:r>
            <w:r w:rsidR="005A5E17">
              <w:t xml:space="preserve"> </w:t>
            </w:r>
            <w:r w:rsidR="00A24CCD">
              <w:t>Reports</w:t>
            </w:r>
            <w:r w:rsidR="00D556DE">
              <w:t xml:space="preserve"> </w:t>
            </w:r>
            <w:r w:rsidR="00D556DE">
              <w:lastRenderedPageBreak/>
              <w:t>will be</w:t>
            </w:r>
            <w:r w:rsidR="00D80D4F">
              <w:t xml:space="preserve"> discussed at</w:t>
            </w:r>
            <w:r w:rsidR="00D556DE">
              <w:t xml:space="preserve"> the April 17 Board meeting</w:t>
            </w:r>
            <w:r w:rsidR="005A5E17">
              <w:t>. T</w:t>
            </w:r>
            <w:r w:rsidR="00D80D4F">
              <w:t>his motion won’t make the meeting.</w:t>
            </w:r>
          </w:p>
          <w:p w14:paraId="7FAF4474" w14:textId="3749BFAA" w:rsidR="00D80D4F" w:rsidRDefault="00D80D4F" w:rsidP="0020457B">
            <w:pPr>
              <w:pStyle w:val="ListParagraph"/>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Staff:  We haven’t heard discussion </w:t>
            </w:r>
            <w:r w:rsidR="00F50C53">
              <w:t>about FI students being removed from</w:t>
            </w:r>
            <w:r w:rsidR="005D777C">
              <w:t xml:space="preserve"> the LOI calculation. </w:t>
            </w:r>
            <w:r w:rsidR="00F50C53">
              <w:t xml:space="preserve"> </w:t>
            </w:r>
            <w:r w:rsidR="005D777C">
              <w:t>There are</w:t>
            </w:r>
            <w:r w:rsidR="00F50C53">
              <w:t xml:space="preserve"> </w:t>
            </w:r>
            <w:r w:rsidR="005A5E17">
              <w:t>six</w:t>
            </w:r>
            <w:r w:rsidR="00F50C53">
              <w:t xml:space="preserve"> variables that are used to calculate LOI.</w:t>
            </w:r>
          </w:p>
          <w:p w14:paraId="36935CFF" w14:textId="77777777" w:rsidR="003A2B79" w:rsidRDefault="003A2B79" w:rsidP="003A2B79">
            <w:pPr>
              <w:pBdr>
                <w:top w:val="nil"/>
                <w:left w:val="nil"/>
                <w:bottom w:val="nil"/>
                <w:right w:val="nil"/>
                <w:between w:val="nil"/>
              </w:pBdr>
              <w:spacing w:before="0" w:after="0"/>
              <w:ind w:left="-3"/>
              <w:cnfStyle w:val="000000000000" w:firstRow="0" w:lastRow="0" w:firstColumn="0" w:lastColumn="0" w:oddVBand="0" w:evenVBand="0" w:oddHBand="0" w:evenHBand="0" w:firstRowFirstColumn="0" w:firstRowLastColumn="0" w:lastRowFirstColumn="0" w:lastRowLastColumn="0"/>
            </w:pPr>
          </w:p>
          <w:p w14:paraId="4F3A259A" w14:textId="212E2504" w:rsidR="0068658D" w:rsidRDefault="0068658D" w:rsidP="00A4483B">
            <w:pPr>
              <w:pBdr>
                <w:top w:val="nil"/>
                <w:left w:val="nil"/>
                <w:bottom w:val="nil"/>
                <w:right w:val="nil"/>
                <w:between w:val="nil"/>
              </w:pBdr>
              <w:spacing w:before="0" w:after="0"/>
              <w:ind w:left="-3"/>
              <w:cnfStyle w:val="000000000000" w:firstRow="0" w:lastRow="0" w:firstColumn="0" w:lastColumn="0" w:oddVBand="0" w:evenVBand="0" w:oddHBand="0" w:evenHBand="0" w:firstRowFirstColumn="0" w:firstRowLastColumn="0" w:lastRowFirstColumn="0" w:lastRowLastColumn="0"/>
            </w:pPr>
            <w:r>
              <w:t>Comments</w:t>
            </w:r>
            <w:r w:rsidR="00F50C53">
              <w:t xml:space="preserve">:  </w:t>
            </w:r>
          </w:p>
          <w:p w14:paraId="0AEB5D99" w14:textId="57B17DF6" w:rsidR="00F50C53" w:rsidRDefault="00F50C53" w:rsidP="0020457B">
            <w:pPr>
              <w:pStyle w:val="ListParagraph"/>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Some schools</w:t>
            </w:r>
            <w:r w:rsidR="005D777C">
              <w:t xml:space="preserve"> communities</w:t>
            </w:r>
            <w:r>
              <w:t xml:space="preserve"> feel that when FI or gifted programs arrive</w:t>
            </w:r>
            <w:r w:rsidR="005D777C">
              <w:t>, they</w:t>
            </w:r>
            <w:r>
              <w:t xml:space="preserve"> </w:t>
            </w:r>
            <w:r w:rsidR="00617B98">
              <w:t>pull up the median income</w:t>
            </w:r>
            <w:r w:rsidR="005D777C">
              <w:t xml:space="preserve"> variable</w:t>
            </w:r>
            <w:r w:rsidR="00617B98">
              <w:t>.</w:t>
            </w:r>
          </w:p>
          <w:p w14:paraId="5E52CBD0" w14:textId="7F7F2CBD" w:rsidR="001F5351" w:rsidRDefault="00617B98" w:rsidP="002674FE">
            <w:pPr>
              <w:pStyle w:val="ListParagraph"/>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The idea that FI students should be removed from the </w:t>
            </w:r>
            <w:r w:rsidR="001F5351">
              <w:t>cal</w:t>
            </w:r>
            <w:r>
              <w:t xml:space="preserve">culation came from the </w:t>
            </w:r>
            <w:r w:rsidR="001F5351" w:rsidRPr="00617B98">
              <w:t>Inner-City</w:t>
            </w:r>
            <w:r w:rsidRPr="00617B98">
              <w:t xml:space="preserve"> Community Advisory Committee</w:t>
            </w:r>
            <w:r>
              <w:t xml:space="preserve"> (ICCAC)</w:t>
            </w:r>
            <w:r w:rsidR="001F5351">
              <w:t>.</w:t>
            </w:r>
            <w:r w:rsidR="00BB01BA">
              <w:t xml:space="preserve"> </w:t>
            </w:r>
            <w:r w:rsidR="002674FE">
              <w:t xml:space="preserve">Also raised in the November 2023 </w:t>
            </w:r>
            <w:r w:rsidR="001F5351">
              <w:t xml:space="preserve">Globe and Mail article about </w:t>
            </w:r>
            <w:r w:rsidR="002674FE">
              <w:t xml:space="preserve">Blake </w:t>
            </w:r>
            <w:r w:rsidR="0068658D">
              <w:t>PS</w:t>
            </w:r>
            <w:r w:rsidR="001F5351">
              <w:t>.</w:t>
            </w:r>
          </w:p>
          <w:p w14:paraId="7F30FF28" w14:textId="4E8E22A0" w:rsidR="001F5351" w:rsidRDefault="005D777C" w:rsidP="0020457B">
            <w:pPr>
              <w:pStyle w:val="ListParagraph"/>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The</w:t>
            </w:r>
            <w:r w:rsidR="001F5351">
              <w:t xml:space="preserve"> motion is in response to the </w:t>
            </w:r>
            <w:r w:rsidR="0068658D">
              <w:t xml:space="preserve">perception that </w:t>
            </w:r>
            <w:r w:rsidR="001F5351">
              <w:t>FI driv</w:t>
            </w:r>
            <w:r w:rsidR="0068658D">
              <w:t>es</w:t>
            </w:r>
            <w:r w:rsidR="001F5351">
              <w:t xml:space="preserve"> gentrification</w:t>
            </w:r>
            <w:r w:rsidR="0068658D">
              <w:t xml:space="preserve"> and </w:t>
            </w:r>
            <w:r w:rsidR="00FB6404">
              <w:t>FI/gifted pull up the median income variable</w:t>
            </w:r>
            <w:r w:rsidR="001F5351">
              <w:t xml:space="preserve">.  The research we’ve done </w:t>
            </w:r>
            <w:r w:rsidR="00FB6404">
              <w:t xml:space="preserve">and Dr David Cameron’s assessment </w:t>
            </w:r>
            <w:r w:rsidR="001F5351">
              <w:t>show that it is more coincidental.</w:t>
            </w:r>
            <w:r w:rsidR="00251E60">
              <w:t xml:space="preserve"> Some FI sites go up the LOI index and some go down. </w:t>
            </w:r>
          </w:p>
          <w:p w14:paraId="6283A5A6" w14:textId="43F21270" w:rsidR="001F5351" w:rsidRDefault="006837A6" w:rsidP="0020457B">
            <w:pPr>
              <w:pStyle w:val="ListParagraph"/>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Motion</w:t>
            </w:r>
            <w:r w:rsidR="001F5351">
              <w:t xml:space="preserve"> will give our Parent </w:t>
            </w:r>
            <w:r w:rsidR="00A4483B">
              <w:t>Chair</w:t>
            </w:r>
            <w:r w:rsidR="001F5351">
              <w:t xml:space="preserve"> strength to do a delegation</w:t>
            </w:r>
            <w:r>
              <w:t xml:space="preserve"> if need arises</w:t>
            </w:r>
            <w:r w:rsidR="001F5351">
              <w:t xml:space="preserve">.  This aligns with the staff report on the </w:t>
            </w:r>
            <w:r w:rsidR="0020457B">
              <w:t>issue.</w:t>
            </w:r>
          </w:p>
          <w:p w14:paraId="06E7DC3D" w14:textId="77777777" w:rsidR="006837A6" w:rsidRDefault="006837A6" w:rsidP="00A4483B">
            <w:pPr>
              <w:pStyle w:val="ListParagraph"/>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p>
          <w:p w14:paraId="39285194" w14:textId="69295EC4" w:rsidR="009D60E6" w:rsidRDefault="001F5351" w:rsidP="00A4483B">
            <w:pPr>
              <w:pStyle w:val="ListParagraph"/>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Staff:</w:t>
            </w:r>
            <w:r w:rsidR="009D60E6">
              <w:t xml:space="preserve"> The </w:t>
            </w:r>
            <w:r w:rsidR="00474765">
              <w:t xml:space="preserve">staff </w:t>
            </w:r>
            <w:r w:rsidR="005D777C">
              <w:t>r</w:t>
            </w:r>
            <w:r w:rsidR="009D60E6">
              <w:t xml:space="preserve">eport </w:t>
            </w:r>
            <w:r w:rsidR="008666FA">
              <w:t xml:space="preserve">on LOI and FI </w:t>
            </w:r>
            <w:r w:rsidR="009D60E6">
              <w:t xml:space="preserve">to PSSC </w:t>
            </w:r>
            <w:r w:rsidR="00474765">
              <w:t xml:space="preserve">in March </w:t>
            </w:r>
            <w:r w:rsidR="009D60E6">
              <w:t>brings voice to what we’re sharing here.</w:t>
            </w:r>
            <w:r w:rsidR="005A5E17">
              <w:t xml:space="preserve"> </w:t>
            </w:r>
            <w:r w:rsidR="009D60E6">
              <w:t>The report highlighted that an FI program is merely one factor of many.</w:t>
            </w:r>
            <w:r w:rsidR="005A5E17">
              <w:t xml:space="preserve"> </w:t>
            </w:r>
            <w:r w:rsidR="009D60E6">
              <w:t>There are 37 schools that are at the centre of this discussion.</w:t>
            </w:r>
            <w:r w:rsidR="008666FA">
              <w:t xml:space="preserve"> </w:t>
            </w:r>
            <w:r w:rsidR="009D60E6">
              <w:t xml:space="preserve">We are also committed to going </w:t>
            </w:r>
            <w:r w:rsidR="005D777C">
              <w:t>with</w:t>
            </w:r>
            <w:r w:rsidR="009D60E6">
              <w:t xml:space="preserve"> ICCAC to answer questions about FI.</w:t>
            </w:r>
            <w:r w:rsidR="005A5E17">
              <w:t xml:space="preserve"> </w:t>
            </w:r>
            <w:r w:rsidR="000E5085">
              <w:t>T</w:t>
            </w:r>
            <w:r w:rsidR="009D60E6">
              <w:t xml:space="preserve">he report demonstrates that schools move due to the </w:t>
            </w:r>
            <w:r w:rsidR="005A5E17">
              <w:t>six</w:t>
            </w:r>
            <w:r w:rsidR="009D60E6">
              <w:t xml:space="preserve"> factors in the LOI.</w:t>
            </w:r>
            <w:r w:rsidR="00CB54B0">
              <w:t xml:space="preserve"> </w:t>
            </w:r>
            <w:r w:rsidR="009D60E6">
              <w:t xml:space="preserve">It does not mean that schools that change ranking </w:t>
            </w:r>
            <w:r w:rsidR="00AF0874">
              <w:t>do not have needs</w:t>
            </w:r>
            <w:r w:rsidR="009D60E6">
              <w:t xml:space="preserve">, just that other schools may </w:t>
            </w:r>
            <w:r w:rsidR="00E312B2">
              <w:t xml:space="preserve">have </w:t>
            </w:r>
            <w:r w:rsidR="00CB54B0">
              <w:t xml:space="preserve">relatively </w:t>
            </w:r>
            <w:r w:rsidR="00E312B2">
              <w:t>greater needs</w:t>
            </w:r>
            <w:r w:rsidR="009D60E6">
              <w:t>.</w:t>
            </w:r>
          </w:p>
          <w:p w14:paraId="7CE97649" w14:textId="234AB254" w:rsidR="009D60E6" w:rsidRDefault="009D60E6" w:rsidP="004A0F62">
            <w:pPr>
              <w:pStyle w:val="ListParagraph"/>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Trustee </w:t>
            </w:r>
            <w:r w:rsidR="00A4483B">
              <w:t>Co-Chair</w:t>
            </w:r>
            <w:r>
              <w:t xml:space="preserve">: We’ve </w:t>
            </w:r>
            <w:r w:rsidR="003609EE">
              <w:t>discussed</w:t>
            </w:r>
            <w:r>
              <w:t xml:space="preserve"> advocacy.  Some </w:t>
            </w:r>
            <w:r w:rsidR="00E312B2">
              <w:t xml:space="preserve">CAC </w:t>
            </w:r>
            <w:r>
              <w:t>delegations</w:t>
            </w:r>
            <w:r w:rsidR="00CB54B0">
              <w:t xml:space="preserve"> to Trustees</w:t>
            </w:r>
            <w:r>
              <w:t xml:space="preserve"> </w:t>
            </w:r>
            <w:r w:rsidR="000C2E80">
              <w:t>have not had clear</w:t>
            </w:r>
            <w:r w:rsidR="00857B7B">
              <w:t xml:space="preserve"> support </w:t>
            </w:r>
            <w:r w:rsidR="000C2E80">
              <w:t>from</w:t>
            </w:r>
            <w:r w:rsidR="00857B7B">
              <w:t xml:space="preserve"> their members. </w:t>
            </w:r>
            <w:r w:rsidR="003609EE">
              <w:t>It’s good value to have a committee motion</w:t>
            </w:r>
            <w:r w:rsidR="00857B7B">
              <w:t xml:space="preserve"> </w:t>
            </w:r>
            <w:r w:rsidR="00374E77">
              <w:t>to provide clarity for Trustees</w:t>
            </w:r>
            <w:r w:rsidR="003E6C24">
              <w:t xml:space="preserve"> who are interested</w:t>
            </w:r>
            <w:r w:rsidR="00877428">
              <w:t xml:space="preserve"> in hearing what the CACs think. </w:t>
            </w:r>
            <w:r w:rsidR="003609EE">
              <w:t xml:space="preserve">Dr. Cameron was very clear that all students should be </w:t>
            </w:r>
            <w:proofErr w:type="gramStart"/>
            <w:r w:rsidR="003609EE">
              <w:t>counted</w:t>
            </w:r>
            <w:r w:rsidR="005D777C">
              <w:t>,</w:t>
            </w:r>
            <w:r w:rsidR="003609EE">
              <w:t xml:space="preserve"> and</w:t>
            </w:r>
            <w:proofErr w:type="gramEnd"/>
            <w:r w:rsidR="003609EE">
              <w:t xml:space="preserve"> shared that view with ICCAC</w:t>
            </w:r>
            <w:r w:rsidR="005A5E17">
              <w:t>.</w:t>
            </w:r>
            <w:r>
              <w:t xml:space="preserve">  </w:t>
            </w:r>
          </w:p>
          <w:p w14:paraId="59FE5B8F" w14:textId="77777777" w:rsidR="003609EE" w:rsidRDefault="003609EE" w:rsidP="0020457B">
            <w:p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p>
          <w:p w14:paraId="3A777634" w14:textId="5FC64C3C" w:rsidR="003609EE" w:rsidRDefault="00E613AB" w:rsidP="0020457B">
            <w:pPr>
              <w:pStyle w:val="ListParagraph"/>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lastRenderedPageBreak/>
              <w:t>Motion</w:t>
            </w:r>
            <w:r w:rsidR="00DC1023">
              <w:t>:</w:t>
            </w:r>
            <w:r>
              <w:t xml:space="preserve"> That the FSLCAC receive the </w:t>
            </w:r>
            <w:r w:rsidR="00FC3957">
              <w:t xml:space="preserve">FSLCAC </w:t>
            </w:r>
            <w:r>
              <w:t>LOI Report</w:t>
            </w:r>
            <w:r w:rsidR="008C5DC7">
              <w:t xml:space="preserve"> </w:t>
            </w:r>
            <w:r>
              <w:t xml:space="preserve">and attach it to the minutes as an appendix. </w:t>
            </w:r>
            <w:r w:rsidR="00DC1023">
              <w:t>Lisa McAvoy moves, Gail Miller Seconds.  Unanimously adopted by the committee.</w:t>
            </w:r>
          </w:p>
          <w:p w14:paraId="41017DEB" w14:textId="77777777" w:rsidR="00A4483B" w:rsidRDefault="00A4483B" w:rsidP="00A4483B">
            <w:pPr>
              <w:pStyle w:val="ListParagraph"/>
              <w:cnfStyle w:val="000000000000" w:firstRow="0" w:lastRow="0" w:firstColumn="0" w:lastColumn="0" w:oddVBand="0" w:evenVBand="0" w:oddHBand="0" w:evenHBand="0" w:firstRowFirstColumn="0" w:firstRowLastColumn="0" w:lastRowFirstColumn="0" w:lastRowLastColumn="0"/>
            </w:pPr>
          </w:p>
          <w:p w14:paraId="6C647EC0" w14:textId="55677908" w:rsidR="00DC1023" w:rsidRDefault="00DC1023" w:rsidP="0020457B">
            <w:pPr>
              <w:pStyle w:val="ListParagraph"/>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Motion: That the FSLCAC adopt the position that FI students remain in the data collection by school for the LOI as in previous years. Lisa McAvoy moves, Maeve Gray Seconds. Unanimously adopted by the committee.</w:t>
            </w:r>
          </w:p>
          <w:p w14:paraId="2C85CAC1" w14:textId="77777777" w:rsidR="00B503C7" w:rsidRDefault="00B503C7" w:rsidP="00B503C7">
            <w:pPr>
              <w:pStyle w:val="ListParagraph"/>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p>
          <w:p w14:paraId="36A340B5" w14:textId="12643641" w:rsidR="00A4483B" w:rsidRDefault="00DC1023" w:rsidP="00B418CB">
            <w:pPr>
              <w:pStyle w:val="ListParagraph"/>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Q: Why was the committee not informed </w:t>
            </w:r>
            <w:r w:rsidR="00801B39">
              <w:t xml:space="preserve">beforehand </w:t>
            </w:r>
            <w:r w:rsidR="001E6D7E">
              <w:t xml:space="preserve">that </w:t>
            </w:r>
            <w:r w:rsidR="00801B39">
              <w:t>a</w:t>
            </w:r>
            <w:r w:rsidR="001E6D7E">
              <w:t xml:space="preserve"> </w:t>
            </w:r>
            <w:r w:rsidR="008C5DC7">
              <w:t xml:space="preserve">staff report on LOI and FI </w:t>
            </w:r>
            <w:r w:rsidR="001E6D7E">
              <w:t>(</w:t>
            </w:r>
            <w:r w:rsidR="000F30AD">
              <w:t>response to Trustee King’s November 2023 motion) was going to PSSC</w:t>
            </w:r>
            <w:r w:rsidR="00801B39">
              <w:t>?</w:t>
            </w:r>
          </w:p>
          <w:p w14:paraId="795BC8A6" w14:textId="1B074570" w:rsidR="00DC1023" w:rsidRDefault="00DC1023" w:rsidP="00015CF1">
            <w:pPr>
              <w:pStyle w:val="ListParagraph"/>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Staff:  Apologies, </w:t>
            </w:r>
            <w:r w:rsidR="002A74F5">
              <w:t>it was an oversight</w:t>
            </w:r>
            <w:r w:rsidR="00015CF1">
              <w:t>.</w:t>
            </w:r>
          </w:p>
          <w:p w14:paraId="33451702" w14:textId="7D9AFC92" w:rsidR="00DC1023" w:rsidRDefault="00DC1023" w:rsidP="0020457B">
            <w:pPr>
              <w:pStyle w:val="ListParagraph"/>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Trustee </w:t>
            </w:r>
            <w:r w:rsidR="00A4483B">
              <w:t>Co-Chair</w:t>
            </w:r>
            <w:r>
              <w:t xml:space="preserve">: Apologies as well to the committee. We had FBEC concurrent to the last meeting, and I came to issue my </w:t>
            </w:r>
            <w:r w:rsidR="005D777C">
              <w:t>t</w:t>
            </w:r>
            <w:r>
              <w:t xml:space="preserve">rustee </w:t>
            </w:r>
            <w:r w:rsidR="005D777C">
              <w:t>r</w:t>
            </w:r>
            <w:r>
              <w:t xml:space="preserve">eport to the </w:t>
            </w:r>
            <w:proofErr w:type="gramStart"/>
            <w:r>
              <w:t>committee, but</w:t>
            </w:r>
            <w:proofErr w:type="gramEnd"/>
            <w:r>
              <w:t xml:space="preserve"> did not communicate the PSSC motion.</w:t>
            </w:r>
          </w:p>
          <w:p w14:paraId="2BDD6B58" w14:textId="3DD876FC" w:rsidR="006E7D31" w:rsidRDefault="00015CF1" w:rsidP="00EE42E2">
            <w:pPr>
              <w:pStyle w:val="ListParagraph"/>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Parent Co-</w:t>
            </w:r>
            <w:r w:rsidR="00A4483B">
              <w:t>Chair</w:t>
            </w:r>
            <w:r w:rsidR="00DC1023">
              <w:t xml:space="preserve">: Thank you.  We hope that any future motions concerning FI are brought to our attention.  We would like to thank the FSL staff for their work at PSSC. The webcast </w:t>
            </w:r>
            <w:r>
              <w:t xml:space="preserve">of the meeting </w:t>
            </w:r>
            <w:r w:rsidR="00DC1023">
              <w:t>is posted on the TDSB website.</w:t>
            </w:r>
            <w:r w:rsidR="005617E9">
              <w:t xml:space="preserve"> </w:t>
            </w:r>
            <w:r w:rsidR="00DC1023">
              <w:t>We also appreciated that it was conveyed to the meeting that the school principal is responsible for cohesion between cohorts at schools.</w:t>
            </w:r>
          </w:p>
          <w:p w14:paraId="4863BC75" w14:textId="614BAEC3" w:rsidR="006E7D31" w:rsidRDefault="006E7D31" w:rsidP="005D777C">
            <w:pPr>
              <w:pStyle w:val="ListParagraph"/>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Staff:  We know that in many schools with special programs that there can be challenges, but we have to make an effort for students to feel included.</w:t>
            </w:r>
          </w:p>
          <w:p w14:paraId="436438C3" w14:textId="77777777" w:rsidR="007F19E4" w:rsidRDefault="007F19E4" w:rsidP="007F19E4">
            <w:pPr>
              <w:pBdr>
                <w:top w:val="nil"/>
                <w:left w:val="nil"/>
                <w:bottom w:val="nil"/>
                <w:right w:val="nil"/>
                <w:between w:val="nil"/>
              </w:pBdr>
              <w:spacing w:before="0" w:after="0"/>
              <w:ind w:left="-3"/>
              <w:cnfStyle w:val="000000000000" w:firstRow="0" w:lastRow="0" w:firstColumn="0" w:lastColumn="0" w:oddVBand="0" w:evenVBand="0" w:oddHBand="0" w:evenHBand="0" w:firstRowFirstColumn="0" w:firstRowLastColumn="0" w:lastRowFirstColumn="0" w:lastRowLastColumn="0"/>
            </w:pPr>
          </w:p>
          <w:p w14:paraId="5171BF68" w14:textId="3887AF2D" w:rsidR="004377A3" w:rsidRPr="00A4483B" w:rsidRDefault="004377A3" w:rsidP="00A4483B">
            <w:pPr>
              <w:pBdr>
                <w:top w:val="nil"/>
                <w:left w:val="nil"/>
                <w:bottom w:val="nil"/>
                <w:right w:val="nil"/>
                <w:between w:val="nil"/>
              </w:pBdr>
              <w:spacing w:before="0" w:after="0"/>
              <w:ind w:left="-3"/>
              <w:cnfStyle w:val="000000000000" w:firstRow="0" w:lastRow="0" w:firstColumn="0" w:lastColumn="0" w:oddVBand="0" w:evenVBand="0" w:oddHBand="0" w:evenHBand="0" w:firstRowFirstColumn="0" w:firstRowLastColumn="0" w:lastRowFirstColumn="0" w:lastRowLastColumn="0"/>
              <w:rPr>
                <w:b/>
                <w:bCs/>
              </w:rPr>
            </w:pPr>
            <w:r w:rsidRPr="00A4483B">
              <w:rPr>
                <w:b/>
                <w:bCs/>
              </w:rPr>
              <w:t>Post C</w:t>
            </w:r>
            <w:r w:rsidR="00671C09">
              <w:rPr>
                <w:b/>
                <w:bCs/>
              </w:rPr>
              <w:t>OVID</w:t>
            </w:r>
            <w:r w:rsidRPr="00A4483B">
              <w:rPr>
                <w:b/>
                <w:bCs/>
              </w:rPr>
              <w:t xml:space="preserve"> Mental Health of Teachers</w:t>
            </w:r>
          </w:p>
          <w:p w14:paraId="0DE8CD2D" w14:textId="34596475" w:rsidR="006E7D31" w:rsidRDefault="006E7D31" w:rsidP="005D777C">
            <w:pPr>
              <w:pStyle w:val="ListParagraph"/>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Q: When we were going through COVID, the TDSB did an outstanding job emphasizing mental health. It seems now though that teaching staff are struggling.  What is being done to support teachers</w:t>
            </w:r>
            <w:r w:rsidR="005D777C">
              <w:t>?</w:t>
            </w:r>
          </w:p>
          <w:p w14:paraId="70EBD0AA" w14:textId="29B31E7D" w:rsidR="006E7D31" w:rsidRDefault="006E7D31" w:rsidP="006E2962">
            <w:pPr>
              <w:pStyle w:val="ListParagraph"/>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Staff: The pandemic affected us all. We have a challenge for example with teachers taking professional learning because we are having trouble getting occasional teachers (OTs).</w:t>
            </w:r>
            <w:r w:rsidR="006E2962">
              <w:t xml:space="preserve"> </w:t>
            </w:r>
            <w:r>
              <w:t>As a system, we have been emphasizing mental health and well-being. Our People and Culture department now link to our well-being supports in their signatures.</w:t>
            </w:r>
            <w:r w:rsidR="00671C09">
              <w:t xml:space="preserve"> </w:t>
            </w:r>
            <w:r>
              <w:t xml:space="preserve">One of the big impacts post-COVID is an </w:t>
            </w:r>
            <w:r>
              <w:lastRenderedPageBreak/>
              <w:t>increase in absences, and the impact that has on staff that are not away. This is true for other boards of education and other sectors of society as well.</w:t>
            </w:r>
          </w:p>
          <w:p w14:paraId="22E26FCC" w14:textId="00DDEA4A" w:rsidR="006E7D31" w:rsidRDefault="006E7D31" w:rsidP="0020457B">
            <w:pPr>
              <w:pStyle w:val="ListParagraph"/>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Q:</w:t>
            </w:r>
            <w:r w:rsidR="00B315D3">
              <w:t xml:space="preserve"> How can families support staff, given that </w:t>
            </w:r>
            <w:r w:rsidR="005D777C">
              <w:t>they</w:t>
            </w:r>
            <w:r w:rsidR="00B315D3">
              <w:t xml:space="preserve"> are part of our </w:t>
            </w:r>
            <w:r w:rsidR="005D777C">
              <w:t>student’s lives</w:t>
            </w:r>
            <w:r w:rsidR="005A5E17">
              <w:t>?</w:t>
            </w:r>
          </w:p>
          <w:p w14:paraId="00F177A3" w14:textId="5C71D5A6" w:rsidR="00B315D3" w:rsidRDefault="00B315D3" w:rsidP="0020457B">
            <w:pPr>
              <w:pStyle w:val="ListParagraph"/>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Staff: It really comes down to relationships.  There is fear about some situations in classes, but it’s important that we come together.</w:t>
            </w:r>
          </w:p>
          <w:p w14:paraId="0E616172" w14:textId="1DCD4304" w:rsidR="00B315D3" w:rsidRDefault="006F3AC6" w:rsidP="0020457B">
            <w:pPr>
              <w:pStyle w:val="ListParagraph"/>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Comment</w:t>
            </w:r>
            <w:r w:rsidR="00B315D3">
              <w:t>: Thank you for mentioning that.  Staff and students are stressed</w:t>
            </w:r>
            <w:r w:rsidR="005A5E17">
              <w:t xml:space="preserve"> </w:t>
            </w:r>
            <w:r w:rsidR="00B315D3">
              <w:t xml:space="preserve">out.  Students are speaking out about it.  </w:t>
            </w:r>
            <w:r w:rsidR="0020457B">
              <w:t xml:space="preserve">It’s a big topic. </w:t>
            </w:r>
            <w:r w:rsidR="005D777C">
              <w:t xml:space="preserve"> </w:t>
            </w:r>
            <w:r w:rsidR="0020457B">
              <w:t xml:space="preserve">It’s important </w:t>
            </w:r>
            <w:r w:rsidR="00BF1530">
              <w:t>for students to</w:t>
            </w:r>
            <w:r w:rsidR="0020457B">
              <w:t xml:space="preserve"> talk about it with families.</w:t>
            </w:r>
          </w:p>
        </w:tc>
        <w:tc>
          <w:tcPr>
            <w:tcW w:w="2127" w:type="dxa"/>
          </w:tcPr>
          <w:p w14:paraId="0E2A8BBF" w14:textId="77777777" w:rsidR="00C35B40" w:rsidRDefault="00C35B40">
            <w:pPr>
              <w:spacing w:before="0" w:after="0"/>
              <w:ind w:left="18"/>
              <w:cnfStyle w:val="000000000000" w:firstRow="0" w:lastRow="0" w:firstColumn="0" w:lastColumn="0" w:oddVBand="0" w:evenVBand="0" w:oddHBand="0" w:evenHBand="0" w:firstRowFirstColumn="0" w:firstRowLastColumn="0" w:lastRowFirstColumn="0" w:lastRowLastColumn="0"/>
            </w:pPr>
          </w:p>
          <w:p w14:paraId="5BC13628"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3AF5F9BF"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4C9BF289"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3FCE3C77"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23B5A436"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0A7A0A7A"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57CB6DD1"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78E92EF6"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4775C3B0"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542815A5"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63D2F4D9"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661B3B73"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3A482EBB"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679D4BA9"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175513DD"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147CEFF7"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01C49A53"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1E900744"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698D9A91"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6A1DC0E6"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0BC40678"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707AA4BF"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5B94981F"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1028AF97"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0151A51F"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6E88A84C"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13C5122D"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49F2D230"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708F557C"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40A541B1"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13A7B0E1"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6E13549E"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47C5CDB9"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55366F2B"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36BF28DE"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477FE041"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7A279BED"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7C986E8B"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676CCDC6"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48146FB7"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731F64D2"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3CA87C87" w14:textId="77777777" w:rsidR="00DC1023" w:rsidRDefault="00DC1023">
            <w:pPr>
              <w:spacing w:before="0" w:after="0"/>
              <w:ind w:left="18"/>
              <w:cnfStyle w:val="000000000000" w:firstRow="0" w:lastRow="0" w:firstColumn="0" w:lastColumn="0" w:oddVBand="0" w:evenVBand="0" w:oddHBand="0" w:evenHBand="0" w:firstRowFirstColumn="0" w:firstRowLastColumn="0" w:lastRowFirstColumn="0" w:lastRowLastColumn="0"/>
            </w:pPr>
          </w:p>
          <w:p w14:paraId="48E405AA" w14:textId="440EF7E6" w:rsidR="00DC1023" w:rsidRDefault="00DC1023" w:rsidP="00DC1023">
            <w:pPr>
              <w:spacing w:before="0" w:after="0"/>
              <w:cnfStyle w:val="000000000000" w:firstRow="0" w:lastRow="0" w:firstColumn="0" w:lastColumn="0" w:oddVBand="0" w:evenVBand="0" w:oddHBand="0" w:evenHBand="0" w:firstRowFirstColumn="0" w:firstRowLastColumn="0" w:lastRowFirstColumn="0" w:lastRowLastColumn="0"/>
            </w:pPr>
            <w:r>
              <w:lastRenderedPageBreak/>
              <w:t xml:space="preserve">James Jarrett to </w:t>
            </w:r>
            <w:r w:rsidR="00B503C7">
              <w:t>attach</w:t>
            </w:r>
            <w:r w:rsidR="009A70F9">
              <w:t xml:space="preserve"> </w:t>
            </w:r>
            <w:r w:rsidR="00B503C7">
              <w:t>FSLCAC report to minutes</w:t>
            </w:r>
          </w:p>
        </w:tc>
      </w:tr>
      <w:tr w:rsidR="00051C7D" w14:paraId="1096D128" w14:textId="77777777" w:rsidTr="00051C7D">
        <w:trPr>
          <w:trHeight w:val="701"/>
        </w:trPr>
        <w:tc>
          <w:tcPr>
            <w:cnfStyle w:val="001000000000" w:firstRow="0" w:lastRow="0" w:firstColumn="1" w:lastColumn="0" w:oddVBand="0" w:evenVBand="0" w:oddHBand="0" w:evenHBand="0" w:firstRowFirstColumn="0" w:firstRowLastColumn="0" w:lastRowFirstColumn="0" w:lastRowLastColumn="0"/>
            <w:tcW w:w="1980" w:type="dxa"/>
          </w:tcPr>
          <w:p w14:paraId="3E8AB232" w14:textId="550D9799" w:rsidR="00051C7D" w:rsidRDefault="00056F88">
            <w:pPr>
              <w:spacing w:after="0"/>
            </w:pPr>
            <w:r>
              <w:rPr>
                <w:b w:val="0"/>
              </w:rPr>
              <w:lastRenderedPageBreak/>
              <w:t>7</w:t>
            </w:r>
            <w:r w:rsidR="00DB2D6A">
              <w:rPr>
                <w:b w:val="0"/>
              </w:rPr>
              <w:t>. Ward &amp; CPF Reports</w:t>
            </w:r>
          </w:p>
        </w:tc>
        <w:tc>
          <w:tcPr>
            <w:tcW w:w="9355" w:type="dxa"/>
          </w:tcPr>
          <w:p w14:paraId="7DBFD14E" w14:textId="77777777" w:rsidR="004E63AC" w:rsidRDefault="004E63AC" w:rsidP="004E63AC">
            <w:pPr>
              <w:pBdr>
                <w:top w:val="nil"/>
                <w:left w:val="nil"/>
                <w:bottom w:val="nil"/>
                <w:right w:val="nil"/>
                <w:between w:val="nil"/>
              </w:pBdr>
              <w:spacing w:before="0" w:after="0"/>
              <w:cnfStyle w:val="000000000000" w:firstRow="0" w:lastRow="0" w:firstColumn="0" w:lastColumn="0" w:oddVBand="0" w:evenVBand="0" w:oddHBand="0" w:evenHBand="0" w:firstRowFirstColumn="0" w:firstRowLastColumn="0" w:lastRowFirstColumn="0" w:lastRowLastColumn="0"/>
            </w:pPr>
            <w:r>
              <w:t>Ward 10</w:t>
            </w:r>
          </w:p>
          <w:p w14:paraId="7B82BF43" w14:textId="5B1A393A" w:rsidR="00A06C00" w:rsidRDefault="0062540D" w:rsidP="00A4483B">
            <w:pPr>
              <w:pBdr>
                <w:top w:val="nil"/>
                <w:left w:val="nil"/>
                <w:bottom w:val="nil"/>
                <w:right w:val="nil"/>
                <w:between w:val="nil"/>
              </w:pBdr>
              <w:spacing w:before="0" w:after="0"/>
              <w:cnfStyle w:val="000000000000" w:firstRow="0" w:lastRow="0" w:firstColumn="0" w:lastColumn="0" w:oddVBand="0" w:evenVBand="0" w:oddHBand="0" w:evenHBand="0" w:firstRowFirstColumn="0" w:firstRowLastColumn="0" w:lastRowFirstColumn="0" w:lastRowLastColumn="0"/>
            </w:pPr>
            <w:r>
              <w:t>Q</w:t>
            </w:r>
            <w:r w:rsidR="0020457B">
              <w:t xml:space="preserve">: We are trying to organize summer camp at Winchester, but we are facing challenges because the </w:t>
            </w:r>
            <w:r w:rsidR="005A5E17">
              <w:t>P</w:t>
            </w:r>
            <w:r w:rsidR="00E74EBA">
              <w:t>ermit</w:t>
            </w:r>
            <w:r w:rsidR="005A5E17">
              <w:t>s</w:t>
            </w:r>
            <w:r w:rsidR="00E74EBA">
              <w:t xml:space="preserve"> </w:t>
            </w:r>
            <w:r w:rsidR="0020457B">
              <w:t>department can’t give us timelines on when the permit will be approved.</w:t>
            </w:r>
            <w:r w:rsidR="00973B10">
              <w:t xml:space="preserve"> </w:t>
            </w:r>
            <w:r w:rsidR="00265A9F">
              <w:t>Any ideas on this?</w:t>
            </w:r>
          </w:p>
          <w:p w14:paraId="57A24E14" w14:textId="15CC565F" w:rsidR="0020457B" w:rsidRDefault="0020457B" w:rsidP="0020457B">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Staff: With permits, there are many factors. The key is working with the school principal to get the permit approved. If it’s a private organization trying to move it alone, the process is slower.</w:t>
            </w:r>
          </w:p>
          <w:p w14:paraId="5E4BBDA9" w14:textId="745C4660" w:rsidR="0062540D" w:rsidRDefault="0062540D" w:rsidP="0020457B">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Q:  </w:t>
            </w:r>
            <w:r w:rsidR="0020457B">
              <w:t>CPF is a registered as a partner with the Board</w:t>
            </w:r>
            <w:r>
              <w:t xml:space="preserve">. </w:t>
            </w:r>
            <w:r w:rsidR="00676374">
              <w:t>Does this help expedite the process?</w:t>
            </w:r>
          </w:p>
          <w:p w14:paraId="7BBDF40E" w14:textId="6327FB5C" w:rsidR="0062540D" w:rsidRDefault="0062540D" w:rsidP="0020457B">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Staff:  </w:t>
            </w:r>
            <w:r w:rsidR="009B4967">
              <w:t xml:space="preserve">Have just selected </w:t>
            </w:r>
            <w:r>
              <w:t>sites for our Summer School Programs</w:t>
            </w:r>
            <w:r w:rsidR="009B4967">
              <w:t xml:space="preserve">. Process then moves on to </w:t>
            </w:r>
            <w:r>
              <w:t>City renewals, then private renewals and then new applications.</w:t>
            </w:r>
          </w:p>
          <w:p w14:paraId="673FD747" w14:textId="74541E9B" w:rsidR="0062540D" w:rsidRDefault="0062540D" w:rsidP="00BF1530">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One of our parent volunteers organized a </w:t>
            </w:r>
            <w:r w:rsidR="004E63AC">
              <w:t>3</w:t>
            </w:r>
            <w:r w:rsidR="00B563F5">
              <w:t>-</w:t>
            </w:r>
            <w:r w:rsidR="004E63AC">
              <w:t xml:space="preserve">hour </w:t>
            </w:r>
            <w:r>
              <w:t>French cooking class</w:t>
            </w:r>
            <w:r w:rsidR="004E63AC">
              <w:t xml:space="preserve">. </w:t>
            </w:r>
            <w:r>
              <w:t>We had 30 participants, and it was well received. We will be redoing in September.</w:t>
            </w:r>
          </w:p>
        </w:tc>
        <w:tc>
          <w:tcPr>
            <w:tcW w:w="2127" w:type="dxa"/>
          </w:tcPr>
          <w:p w14:paraId="1732BD5A"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tc>
      </w:tr>
      <w:tr w:rsidR="00051C7D" w14:paraId="79D6056E" w14:textId="77777777" w:rsidTr="00051C7D">
        <w:trPr>
          <w:trHeight w:val="701"/>
        </w:trPr>
        <w:tc>
          <w:tcPr>
            <w:cnfStyle w:val="001000000000" w:firstRow="0" w:lastRow="0" w:firstColumn="1" w:lastColumn="0" w:oddVBand="0" w:evenVBand="0" w:oddHBand="0" w:evenHBand="0" w:firstRowFirstColumn="0" w:firstRowLastColumn="0" w:lastRowFirstColumn="0" w:lastRowLastColumn="0"/>
            <w:tcW w:w="1980" w:type="dxa"/>
          </w:tcPr>
          <w:p w14:paraId="04E2AC7F" w14:textId="26E7960B" w:rsidR="00051C7D" w:rsidRDefault="0066757A">
            <w:pPr>
              <w:spacing w:after="0"/>
            </w:pPr>
            <w:bookmarkStart w:id="1" w:name="_heading=h.30j0zll" w:colFirst="0" w:colLast="0"/>
            <w:bookmarkEnd w:id="1"/>
            <w:r>
              <w:rPr>
                <w:b w:val="0"/>
              </w:rPr>
              <w:t>8</w:t>
            </w:r>
            <w:r w:rsidR="00DB2D6A">
              <w:rPr>
                <w:b w:val="0"/>
              </w:rPr>
              <w:t xml:space="preserve">. </w:t>
            </w:r>
            <w:r w:rsidR="00671C09">
              <w:rPr>
                <w:b w:val="0"/>
              </w:rPr>
              <w:t>Parent</w:t>
            </w:r>
            <w:r w:rsidR="00DB2D6A">
              <w:rPr>
                <w:b w:val="0"/>
              </w:rPr>
              <w:t xml:space="preserve"> and Trustee</w:t>
            </w:r>
            <w:r w:rsidR="00267202">
              <w:rPr>
                <w:b w:val="0"/>
              </w:rPr>
              <w:t xml:space="preserve"> Co-</w:t>
            </w:r>
            <w:r w:rsidR="00A4483B">
              <w:rPr>
                <w:b w:val="0"/>
              </w:rPr>
              <w:t>Chair</w:t>
            </w:r>
            <w:r w:rsidR="00DB2D6A">
              <w:rPr>
                <w:b w:val="0"/>
              </w:rPr>
              <w:t xml:space="preserve"> Reports </w:t>
            </w:r>
          </w:p>
        </w:tc>
        <w:tc>
          <w:tcPr>
            <w:tcW w:w="9355" w:type="dxa"/>
          </w:tcPr>
          <w:p w14:paraId="57EF22F3" w14:textId="26A77AEA" w:rsidR="0062540D" w:rsidRDefault="0062540D" w:rsidP="0062540D">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Parent </w:t>
            </w:r>
            <w:r w:rsidR="00A4483B">
              <w:t>Co-Chair</w:t>
            </w:r>
            <w:r>
              <w:t xml:space="preserve">: </w:t>
            </w:r>
            <w:r w:rsidR="007639D4">
              <w:t>No report</w:t>
            </w:r>
            <w:r w:rsidR="00B563F5">
              <w:t>.</w:t>
            </w:r>
          </w:p>
          <w:p w14:paraId="07004A20" w14:textId="02231810" w:rsidR="000575C5" w:rsidRDefault="00DB2D6A" w:rsidP="0020457B">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Trustee </w:t>
            </w:r>
            <w:r w:rsidR="00267202">
              <w:t>Co-</w:t>
            </w:r>
            <w:r w:rsidR="00A4483B">
              <w:t>Chair</w:t>
            </w:r>
            <w:r>
              <w:t xml:space="preserve">: </w:t>
            </w:r>
            <w:r w:rsidR="0062540D">
              <w:t>April is Latin Heritage Month and Sikh Heritage Month.</w:t>
            </w:r>
          </w:p>
          <w:p w14:paraId="4B06DF91" w14:textId="30AA32E2" w:rsidR="0062540D" w:rsidRDefault="0062540D" w:rsidP="0020457B">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Summer school registration starts April 22.</w:t>
            </w:r>
          </w:p>
          <w:p w14:paraId="74732D28" w14:textId="732EFD8C" w:rsidR="00C52D11" w:rsidRPr="00A4483B" w:rsidRDefault="00E6789B" w:rsidP="00A4483B">
            <w:pPr>
              <w:pBdr>
                <w:top w:val="nil"/>
                <w:left w:val="nil"/>
                <w:bottom w:val="nil"/>
                <w:right w:val="nil"/>
                <w:between w:val="nil"/>
              </w:pBdr>
              <w:spacing w:before="0" w:after="0"/>
              <w:ind w:left="-3"/>
              <w:cnfStyle w:val="000000000000" w:firstRow="0" w:lastRow="0" w:firstColumn="0" w:lastColumn="0" w:oddVBand="0" w:evenVBand="0" w:oddHBand="0" w:evenHBand="0" w:firstRowFirstColumn="0" w:firstRowLastColumn="0" w:lastRowFirstColumn="0" w:lastRowLastColumn="0"/>
              <w:rPr>
                <w:b/>
                <w:bCs/>
              </w:rPr>
            </w:pPr>
            <w:r w:rsidRPr="00A4483B">
              <w:rPr>
                <w:b/>
                <w:bCs/>
              </w:rPr>
              <w:t xml:space="preserve">Budget: </w:t>
            </w:r>
          </w:p>
          <w:p w14:paraId="2B5768CD" w14:textId="7667C717" w:rsidR="007E76B9" w:rsidRDefault="00C52D11" w:rsidP="002D65F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H</w:t>
            </w:r>
            <w:r w:rsidR="0062540D">
              <w:t>as been occupying our agenda. We’ve tried to create a tentative budget in Spring, which would have provided some stability for schools. Some staff are not placed until the budget is formally done.</w:t>
            </w:r>
            <w:r w:rsidR="000168E7">
              <w:t xml:space="preserve"> </w:t>
            </w:r>
            <w:r w:rsidR="0062540D">
              <w:t xml:space="preserve">We’re closer than ever before to having this process done ahead of time. We have found </w:t>
            </w:r>
            <w:r w:rsidR="00B563F5">
              <w:t>$</w:t>
            </w:r>
            <w:r w:rsidR="0062540D">
              <w:t>17 million in efficiencies.</w:t>
            </w:r>
            <w:r w:rsidR="007E76B9">
              <w:t xml:space="preserve">  Some VP allocations that had been pulled have been put back, along with some safety staff.</w:t>
            </w:r>
            <w:r w:rsidR="000168E7">
              <w:t xml:space="preserve"> </w:t>
            </w:r>
            <w:r w:rsidR="007E76B9">
              <w:t xml:space="preserve">Adult education happens naturally in school environments. It’s an asset to </w:t>
            </w:r>
            <w:r w:rsidR="007E76B9">
              <w:lastRenderedPageBreak/>
              <w:t>the community, but if participation is low, we end up subsidizing it. Last year, it cost us around $700K, and it’s not part of our mandate.</w:t>
            </w:r>
            <w:r w:rsidR="00F56B25">
              <w:t xml:space="preserve"> </w:t>
            </w:r>
            <w:r w:rsidR="007E76B9">
              <w:t>International language instruction has the same problem.</w:t>
            </w:r>
          </w:p>
          <w:p w14:paraId="566D9D0F" w14:textId="3DB8AABF" w:rsidR="007E76B9" w:rsidRDefault="007E76B9" w:rsidP="0020457B">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Permitting in the Board is designed to be on a cost recovery basis in theory.</w:t>
            </w:r>
          </w:p>
          <w:p w14:paraId="560FA111" w14:textId="064DAB6E" w:rsidR="007E76B9" w:rsidRDefault="007E76B9" w:rsidP="0020457B">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We’ve had challenges with all 3 of these issues. We’re seeking additional reports which won’t be ready in time for this budget session.</w:t>
            </w:r>
          </w:p>
          <w:p w14:paraId="4F07766D" w14:textId="23064706" w:rsidR="007E76B9" w:rsidRDefault="007E76B9" w:rsidP="0020457B">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The </w:t>
            </w:r>
            <w:r w:rsidR="00BF1530">
              <w:t>g</w:t>
            </w:r>
            <w:r>
              <w:t xml:space="preserve">rants for </w:t>
            </w:r>
            <w:r w:rsidR="00BF1530">
              <w:t>s</w:t>
            </w:r>
            <w:r>
              <w:t xml:space="preserve">tudent </w:t>
            </w:r>
            <w:r w:rsidR="00BF1530">
              <w:t>n</w:t>
            </w:r>
            <w:r>
              <w:t>eeds</w:t>
            </w:r>
            <w:r w:rsidR="00A356BC">
              <w:t>, the funding allocated by the Ministry of Education</w:t>
            </w:r>
            <w:r>
              <w:t xml:space="preserve"> are expected shortly.</w:t>
            </w:r>
          </w:p>
          <w:p w14:paraId="43B168A0" w14:textId="369C1D9B" w:rsidR="007E76B9" w:rsidRDefault="007E76B9" w:rsidP="0020457B">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We plan to hold 3 </w:t>
            </w:r>
            <w:r w:rsidR="00EE1E35">
              <w:t xml:space="preserve">public </w:t>
            </w:r>
            <w:r>
              <w:t>budget meetings across the city to highlight some of the gaps in funding.</w:t>
            </w:r>
          </w:p>
          <w:p w14:paraId="564B78BB" w14:textId="77777777" w:rsidR="007E76B9" w:rsidRDefault="007E76B9" w:rsidP="0020457B">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We spend $40 million on space we aren’t funded for.  We receive a fraction of the cost of our replacement staff.</w:t>
            </w:r>
          </w:p>
          <w:p w14:paraId="63B1C558" w14:textId="72C94036" w:rsidR="0066757A" w:rsidRDefault="007E76B9" w:rsidP="00BF1530">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The Ministry has pushed back. The </w:t>
            </w:r>
            <w:r w:rsidR="00A4483B">
              <w:t>Chair</w:t>
            </w:r>
            <w:r>
              <w:t xml:space="preserve"> of the Board has a news conference tomorrow to advocate. We are preparing an information </w:t>
            </w:r>
            <w:r w:rsidR="0066757A">
              <w:t>package to show funding versus operational costs. If we were fully funded for these initiatives, we wouldn’t be in this position every year.</w:t>
            </w:r>
          </w:p>
          <w:p w14:paraId="4F58405A" w14:textId="77777777" w:rsidR="008F5CE7" w:rsidRDefault="008F5CE7" w:rsidP="008F5CE7">
            <w:pPr>
              <w:pBdr>
                <w:top w:val="nil"/>
                <w:left w:val="nil"/>
                <w:bottom w:val="nil"/>
                <w:right w:val="nil"/>
                <w:between w:val="nil"/>
              </w:pBdr>
              <w:spacing w:before="0" w:after="0"/>
              <w:ind w:left="-3"/>
              <w:cnfStyle w:val="000000000000" w:firstRow="0" w:lastRow="0" w:firstColumn="0" w:lastColumn="0" w:oddVBand="0" w:evenVBand="0" w:oddHBand="0" w:evenHBand="0" w:firstRowFirstColumn="0" w:firstRowLastColumn="0" w:lastRowFirstColumn="0" w:lastRowLastColumn="0"/>
            </w:pPr>
          </w:p>
          <w:p w14:paraId="171A1492" w14:textId="097A89A3" w:rsidR="00D80A0C" w:rsidRPr="00A4483B" w:rsidRDefault="008F5CE7" w:rsidP="00A4483B">
            <w:pPr>
              <w:pBdr>
                <w:top w:val="nil"/>
                <w:left w:val="nil"/>
                <w:bottom w:val="nil"/>
                <w:right w:val="nil"/>
                <w:between w:val="nil"/>
              </w:pBdr>
              <w:spacing w:before="0" w:after="0"/>
              <w:ind w:left="-3"/>
              <w:cnfStyle w:val="000000000000" w:firstRow="0" w:lastRow="0" w:firstColumn="0" w:lastColumn="0" w:oddVBand="0" w:evenVBand="0" w:oddHBand="0" w:evenHBand="0" w:firstRowFirstColumn="0" w:firstRowLastColumn="0" w:lastRowFirstColumn="0" w:lastRowLastColumn="0"/>
              <w:rPr>
                <w:b/>
                <w:bCs/>
              </w:rPr>
            </w:pPr>
            <w:r w:rsidRPr="00A4483B">
              <w:rPr>
                <w:b/>
                <w:bCs/>
              </w:rPr>
              <w:t>Lawsuit</w:t>
            </w:r>
            <w:r>
              <w:rPr>
                <w:b/>
                <w:bCs/>
              </w:rPr>
              <w:t>:</w:t>
            </w:r>
          </w:p>
          <w:p w14:paraId="6340F0C5" w14:textId="3D6FF838" w:rsidR="00F55C23" w:rsidRDefault="0066757A" w:rsidP="00BF1530">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Q:  What information </w:t>
            </w:r>
            <w:r w:rsidR="00D80A0C">
              <w:t>d</w:t>
            </w:r>
            <w:r>
              <w:t>o you have about the big lawsuits against social media companies</w:t>
            </w:r>
            <w:r w:rsidR="00356625">
              <w:t>?</w:t>
            </w:r>
          </w:p>
          <w:p w14:paraId="66FE6B89" w14:textId="0ED30BE6" w:rsidR="00F313A7" w:rsidRDefault="0034085C" w:rsidP="000035E0">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Trustee </w:t>
            </w:r>
            <w:r w:rsidR="00EB5BD2">
              <w:t>Co-</w:t>
            </w:r>
            <w:r w:rsidR="00A4483B">
              <w:t>Chair</w:t>
            </w:r>
            <w:r>
              <w:t xml:space="preserve">: </w:t>
            </w:r>
            <w:r w:rsidR="00F55C23">
              <w:t xml:space="preserve">Regarding the lawsuit, </w:t>
            </w:r>
            <w:r w:rsidR="004210BE">
              <w:t>five</w:t>
            </w:r>
            <w:r w:rsidR="00F55C23">
              <w:t xml:space="preserve"> boards have now joined. The </w:t>
            </w:r>
            <w:r w:rsidR="004210BE">
              <w:t xml:space="preserve">objective </w:t>
            </w:r>
            <w:r w:rsidR="00F55C23">
              <w:t xml:space="preserve">is to get a change in behaviour from social media companies, because of the effects on student mental health </w:t>
            </w:r>
            <w:r w:rsidR="00F313A7">
              <w:t>(</w:t>
            </w:r>
            <w:proofErr w:type="gramStart"/>
            <w:r w:rsidR="00F55C23">
              <w:t>e.g.</w:t>
            </w:r>
            <w:proofErr w:type="gramEnd"/>
            <w:r w:rsidR="00F313A7">
              <w:t xml:space="preserve"> misinformation online, or negative social behaviour promoted).</w:t>
            </w:r>
            <w:r w:rsidR="004210BE">
              <w:t xml:space="preserve"> </w:t>
            </w:r>
            <w:proofErr w:type="gramStart"/>
            <w:r w:rsidR="00F313A7">
              <w:t>In</w:t>
            </w:r>
            <w:proofErr w:type="gramEnd"/>
            <w:r w:rsidR="00F313A7">
              <w:t xml:space="preserve"> the US, many </w:t>
            </w:r>
            <w:r w:rsidR="00BF1530">
              <w:t>b</w:t>
            </w:r>
            <w:r w:rsidR="00F313A7">
              <w:t>oard</w:t>
            </w:r>
            <w:r w:rsidR="00BF1530">
              <w:t>s</w:t>
            </w:r>
            <w:r w:rsidR="00F313A7">
              <w:t xml:space="preserve"> are a year ahead of us </w:t>
            </w:r>
            <w:r w:rsidR="00BF1530">
              <w:t>o</w:t>
            </w:r>
            <w:r w:rsidR="00F313A7">
              <w:t>n this initiative.</w:t>
            </w:r>
          </w:p>
          <w:p w14:paraId="25C036ED" w14:textId="77777777" w:rsidR="008F5CE7" w:rsidRDefault="008F5CE7" w:rsidP="00A4483B">
            <w:p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p>
          <w:p w14:paraId="03DFF2CD" w14:textId="64D35F60" w:rsidR="008F5CE7" w:rsidRPr="00A4483B" w:rsidRDefault="008F5CE7" w:rsidP="00A4483B">
            <w:pPr>
              <w:pBdr>
                <w:top w:val="nil"/>
                <w:left w:val="nil"/>
                <w:bottom w:val="nil"/>
                <w:right w:val="nil"/>
                <w:between w:val="nil"/>
              </w:pBdr>
              <w:spacing w:before="0" w:after="0"/>
              <w:ind w:left="-3"/>
              <w:cnfStyle w:val="000000000000" w:firstRow="0" w:lastRow="0" w:firstColumn="0" w:lastColumn="0" w:oddVBand="0" w:evenVBand="0" w:oddHBand="0" w:evenHBand="0" w:firstRowFirstColumn="0" w:firstRowLastColumn="0" w:lastRowFirstColumn="0" w:lastRowLastColumn="0"/>
              <w:rPr>
                <w:b/>
                <w:bCs/>
              </w:rPr>
            </w:pPr>
            <w:r w:rsidRPr="00A4483B">
              <w:rPr>
                <w:b/>
                <w:bCs/>
              </w:rPr>
              <w:t>School Closures:</w:t>
            </w:r>
          </w:p>
          <w:p w14:paraId="518F7710" w14:textId="00AA2607" w:rsidR="00356625" w:rsidRDefault="00356625" w:rsidP="0020457B">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Q: What information to you have about school closures?</w:t>
            </w:r>
          </w:p>
          <w:p w14:paraId="40701D49" w14:textId="29780B16" w:rsidR="00F313A7" w:rsidRDefault="00EB5BD2" w:rsidP="004F3CE7">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Trustee Co-</w:t>
            </w:r>
            <w:r w:rsidR="00A4483B">
              <w:t>Chair</w:t>
            </w:r>
            <w:r>
              <w:t xml:space="preserve">: </w:t>
            </w:r>
            <w:r w:rsidR="00F313A7">
              <w:t xml:space="preserve">There has been a moratorium on school closures since 2017.  We received special permission to close George Harvey </w:t>
            </w:r>
            <w:proofErr w:type="gramStart"/>
            <w:r w:rsidR="00F313A7">
              <w:t>CI</w:t>
            </w:r>
            <w:proofErr w:type="gramEnd"/>
            <w:r w:rsidR="00F313A7">
              <w:t xml:space="preserve"> </w:t>
            </w:r>
            <w:r w:rsidR="004210BE">
              <w:t xml:space="preserve">and it has been consolidated with </w:t>
            </w:r>
            <w:r w:rsidR="00F313A7">
              <w:t>York Memorial CI.</w:t>
            </w:r>
            <w:r w:rsidR="004F3CE7">
              <w:t xml:space="preserve"> </w:t>
            </w:r>
            <w:r w:rsidR="00F313A7">
              <w:t xml:space="preserve">We lose </w:t>
            </w:r>
            <w:r w:rsidR="000035E0">
              <w:t xml:space="preserve">about </w:t>
            </w:r>
            <w:r w:rsidR="00F313A7">
              <w:t xml:space="preserve">$35 million a year in </w:t>
            </w:r>
            <w:r w:rsidR="00F313A7">
              <w:lastRenderedPageBreak/>
              <w:t xml:space="preserve">inefficiencies due to unconsolidated space.  We figure we </w:t>
            </w:r>
            <w:r w:rsidR="002E3168">
              <w:t xml:space="preserve">can </w:t>
            </w:r>
            <w:r w:rsidR="00F313A7">
              <w:t xml:space="preserve">save $585 thousand per site per year if we consolidate. We’ve asked if we can consolidate </w:t>
            </w:r>
            <w:r w:rsidR="004210BE">
              <w:t>four</w:t>
            </w:r>
            <w:r w:rsidR="00F313A7">
              <w:t xml:space="preserve"> sites a year.</w:t>
            </w:r>
          </w:p>
          <w:p w14:paraId="61B6D979" w14:textId="6DB712D0" w:rsidR="00F313A7" w:rsidRDefault="00F313A7" w:rsidP="0020457B">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4 years ago, we did a </w:t>
            </w:r>
            <w:hyperlink r:id="rId10" w:history="1">
              <w:r w:rsidRPr="007A586D">
                <w:rPr>
                  <w:rStyle w:val="Hyperlink"/>
                </w:rPr>
                <w:t>Secondary Program Review</w:t>
              </w:r>
            </w:hyperlink>
            <w:r w:rsidR="007A586D">
              <w:t xml:space="preserve">.  </w:t>
            </w:r>
            <w:r w:rsidR="002E3168">
              <w:t>S</w:t>
            </w:r>
            <w:r w:rsidR="007A586D">
              <w:t>econdary sites</w:t>
            </w:r>
            <w:r w:rsidR="0034085C">
              <w:t xml:space="preserve"> function best when they are large enough to support diverse programming.  1000 students is the target number.  There are some sites where both a CI and </w:t>
            </w:r>
            <w:r w:rsidR="00BF1530">
              <w:t>t</w:t>
            </w:r>
            <w:r w:rsidR="0034085C">
              <w:t xml:space="preserve">echnical school were built close together, so where perhaps </w:t>
            </w:r>
            <w:r w:rsidR="00BF1530">
              <w:t>three</w:t>
            </w:r>
            <w:r w:rsidR="0034085C">
              <w:t xml:space="preserve"> sites exist, consolidating to two would yield savings.</w:t>
            </w:r>
          </w:p>
          <w:p w14:paraId="6983FF79" w14:textId="7703E8B2" w:rsidR="0034085C" w:rsidRDefault="0034085C" w:rsidP="0020457B">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Q: What if the closure of a site leads to a significant trip for a student</w:t>
            </w:r>
            <w:r w:rsidR="004210BE">
              <w:t>?</w:t>
            </w:r>
          </w:p>
          <w:p w14:paraId="575E4194" w14:textId="49F9E911" w:rsidR="0034085C" w:rsidRDefault="0034085C" w:rsidP="0020457B">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Trustee </w:t>
            </w:r>
            <w:r w:rsidR="004F3CE7">
              <w:t>Co-</w:t>
            </w:r>
            <w:r w:rsidR="00A4483B">
              <w:t>Chair</w:t>
            </w:r>
            <w:r>
              <w:t xml:space="preserve">:  We’re speaking about neighbourhood schools.  When we get permission to close a site, it’s a </w:t>
            </w:r>
            <w:proofErr w:type="gramStart"/>
            <w:r>
              <w:t>two</w:t>
            </w:r>
            <w:r w:rsidR="004210BE">
              <w:t xml:space="preserve"> </w:t>
            </w:r>
            <w:r>
              <w:t>year</w:t>
            </w:r>
            <w:proofErr w:type="gramEnd"/>
            <w:r>
              <w:t xml:space="preserve"> process, with the first year involving public consultation.  The site being close</w:t>
            </w:r>
            <w:r w:rsidR="008866B3">
              <w:t>d</w:t>
            </w:r>
            <w:r>
              <w:t xml:space="preserve"> stops receiving incoming grade 9 students, until the site winds down.</w:t>
            </w:r>
          </w:p>
          <w:p w14:paraId="0066D99D" w14:textId="2E09FE32" w:rsidR="0034085C" w:rsidRDefault="008866B3" w:rsidP="0020457B">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S</w:t>
            </w:r>
            <w:r w:rsidR="0034085C">
              <w:t>chools are better served when there is more choice.  In some cases, students may be travelling a few neighbourhoods over to follow their academic dreams.</w:t>
            </w:r>
          </w:p>
          <w:p w14:paraId="48FEA630" w14:textId="08E399DF" w:rsidR="00A852A3" w:rsidRDefault="007117D6" w:rsidP="0020457B">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Comment</w:t>
            </w:r>
            <w:r w:rsidR="00A852A3">
              <w:t>:  Not all clusters are groups of three, many are groups of two.</w:t>
            </w:r>
          </w:p>
          <w:p w14:paraId="102DB5E9" w14:textId="1DAACFF5" w:rsidR="00A852A3" w:rsidRDefault="00A852A3" w:rsidP="0020457B">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Trustee </w:t>
            </w:r>
            <w:r w:rsidR="004F3CE7">
              <w:t>Co-</w:t>
            </w:r>
            <w:r w:rsidR="00A4483B">
              <w:t>Chair</w:t>
            </w:r>
            <w:r>
              <w:t xml:space="preserve">: </w:t>
            </w:r>
            <w:r w:rsidR="0057351A">
              <w:t>Consolidation may be a possibility for two secondary schools, and we think the benefits will be substantial.</w:t>
            </w:r>
            <w:r w:rsidR="004F3CE7">
              <w:t xml:space="preserve"> </w:t>
            </w:r>
            <w:r>
              <w:t>We are very excited about this proposal because it makes programs more accessible and manageable.</w:t>
            </w:r>
          </w:p>
          <w:p w14:paraId="6CADF1A2" w14:textId="136F027A" w:rsidR="00A852A3" w:rsidRDefault="006723DA" w:rsidP="0020457B">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We have asked the TTC to </w:t>
            </w:r>
            <w:r w:rsidR="00670725">
              <w:t xml:space="preserve">extend </w:t>
            </w:r>
            <w:r>
              <w:t xml:space="preserve">free transit </w:t>
            </w:r>
            <w:r w:rsidR="00670725">
              <w:t>to</w:t>
            </w:r>
            <w:r>
              <w:t xml:space="preserve"> secondary school</w:t>
            </w:r>
            <w:r w:rsidR="00670725">
              <w:t xml:space="preserve"> students</w:t>
            </w:r>
            <w:r>
              <w:t>.</w:t>
            </w:r>
          </w:p>
          <w:p w14:paraId="7E5BC1E6" w14:textId="2B2BC9AE" w:rsidR="0034085C" w:rsidRDefault="0034085C" w:rsidP="00A4483B">
            <w:p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p>
        </w:tc>
        <w:tc>
          <w:tcPr>
            <w:tcW w:w="2127" w:type="dxa"/>
          </w:tcPr>
          <w:p w14:paraId="212A9655" w14:textId="7C64F0F9"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tc>
      </w:tr>
      <w:tr w:rsidR="006723DA" w14:paraId="2A8DF6A9" w14:textId="77777777" w:rsidTr="00051C7D">
        <w:trPr>
          <w:trHeight w:val="1135"/>
        </w:trPr>
        <w:tc>
          <w:tcPr>
            <w:cnfStyle w:val="001000000000" w:firstRow="0" w:lastRow="0" w:firstColumn="1" w:lastColumn="0" w:oddVBand="0" w:evenVBand="0" w:oddHBand="0" w:evenHBand="0" w:firstRowFirstColumn="0" w:firstRowLastColumn="0" w:lastRowFirstColumn="0" w:lastRowLastColumn="0"/>
            <w:tcW w:w="1980" w:type="dxa"/>
          </w:tcPr>
          <w:p w14:paraId="75862FB7" w14:textId="77777777" w:rsidR="009D5567" w:rsidRDefault="006723DA">
            <w:pPr>
              <w:spacing w:before="0" w:after="0"/>
              <w:rPr>
                <w:bCs/>
              </w:rPr>
            </w:pPr>
            <w:r>
              <w:rPr>
                <w:b w:val="0"/>
                <w:bCs/>
              </w:rPr>
              <w:lastRenderedPageBreak/>
              <w:t xml:space="preserve">9. </w:t>
            </w:r>
            <w:r w:rsidR="009D5567">
              <w:rPr>
                <w:b w:val="0"/>
                <w:bCs/>
              </w:rPr>
              <w:t>Community Advisory Committees: new procedures</w:t>
            </w:r>
          </w:p>
          <w:p w14:paraId="68E7FBAD" w14:textId="2C989B2F" w:rsidR="006723DA" w:rsidRPr="006723DA" w:rsidRDefault="006723DA">
            <w:pPr>
              <w:spacing w:before="0" w:after="0"/>
              <w:rPr>
                <w:b w:val="0"/>
                <w:bCs/>
              </w:rPr>
            </w:pPr>
            <w:r>
              <w:rPr>
                <w:b w:val="0"/>
                <w:bCs/>
              </w:rPr>
              <w:t>PR 741 and 742</w:t>
            </w:r>
          </w:p>
        </w:tc>
        <w:tc>
          <w:tcPr>
            <w:tcW w:w="9355" w:type="dxa"/>
          </w:tcPr>
          <w:p w14:paraId="109E519A" w14:textId="33C82DBC" w:rsidR="0083724E" w:rsidRDefault="006723DA" w:rsidP="0083724E">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Staff: </w:t>
            </w:r>
            <w:hyperlink r:id="rId11" w:history="1">
              <w:r w:rsidRPr="006723DA">
                <w:rPr>
                  <w:rStyle w:val="Hyperlink"/>
                </w:rPr>
                <w:t>PR 742</w:t>
              </w:r>
            </w:hyperlink>
            <w:r w:rsidR="00936479">
              <w:t xml:space="preserve"> deals with committee memberships, reports to the </w:t>
            </w:r>
            <w:r w:rsidR="00BF1530">
              <w:t>B</w:t>
            </w:r>
            <w:r w:rsidR="00936479">
              <w:t>oard, information requests, elections, student opportunities, agendas, decision making, meeting frequency</w:t>
            </w:r>
            <w:r w:rsidR="004C3281">
              <w:t>, loss of quorum requiring meeting adjournment</w:t>
            </w:r>
            <w:r w:rsidR="008A40B3">
              <w:t xml:space="preserve">, </w:t>
            </w:r>
            <w:r w:rsidR="002A41F7">
              <w:t>attendance requirement of 5 members in person for hybrid meetings</w:t>
            </w:r>
            <w:r w:rsidR="000F1873">
              <w:t xml:space="preserve">. </w:t>
            </w:r>
            <w:r w:rsidR="0083724E">
              <w:t xml:space="preserve">We </w:t>
            </w:r>
            <w:r w:rsidR="00DF0A14">
              <w:t xml:space="preserve">follow many of the these procedures already at </w:t>
            </w:r>
            <w:r w:rsidR="0083724E">
              <w:t>FSLCAC.</w:t>
            </w:r>
          </w:p>
          <w:p w14:paraId="4F7B6BBC" w14:textId="7BE7B0E5" w:rsidR="006723DA" w:rsidRDefault="000F1873" w:rsidP="000F1873">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The Board has offered three mini sessions on the CAC procedures.</w:t>
            </w:r>
          </w:p>
          <w:p w14:paraId="360E1258" w14:textId="7A4B00E5" w:rsidR="00FB769D" w:rsidRDefault="00000000" w:rsidP="000064B1">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hyperlink r:id="rId12" w:history="1">
              <w:r w:rsidR="005D6F83" w:rsidRPr="00FB769D">
                <w:rPr>
                  <w:rStyle w:val="Hyperlink"/>
                </w:rPr>
                <w:t>PR 741</w:t>
              </w:r>
            </w:hyperlink>
            <w:r w:rsidR="00FB769D">
              <w:t xml:space="preserve"> There are 10 committees plus two standing committees that are mandated</w:t>
            </w:r>
            <w:r w:rsidR="004C3281">
              <w:t xml:space="preserve"> by the Ministry of Education:</w:t>
            </w:r>
            <w:r w:rsidR="00FB769D">
              <w:t xml:space="preserve"> SEAC and PIAC.</w:t>
            </w:r>
            <w:r w:rsidR="000064B1">
              <w:t xml:space="preserve"> </w:t>
            </w:r>
            <w:r w:rsidR="004210BE">
              <w:t>Six</w:t>
            </w:r>
            <w:r w:rsidR="00FB769D">
              <w:t xml:space="preserve"> of the committees are up for review in the fall, including FSLCAC</w:t>
            </w:r>
            <w:r w:rsidR="000064B1">
              <w:t>.</w:t>
            </w:r>
          </w:p>
          <w:p w14:paraId="5794E624" w14:textId="6F774F7F" w:rsidR="00FB769D" w:rsidRDefault="005413F9" w:rsidP="005413F9">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lastRenderedPageBreak/>
              <w:t>Q</w:t>
            </w:r>
            <w:r w:rsidR="00FB769D">
              <w:t xml:space="preserve">: Our </w:t>
            </w:r>
            <w:r w:rsidR="00A27478">
              <w:t xml:space="preserve">March </w:t>
            </w:r>
            <w:r w:rsidR="00641F4F">
              <w:t xml:space="preserve">hybrid </w:t>
            </w:r>
            <w:r w:rsidR="00FB769D">
              <w:t>meeting was unusual</w:t>
            </w:r>
            <w:r w:rsidR="00641F4F">
              <w:t xml:space="preserve">. No </w:t>
            </w:r>
            <w:r w:rsidR="00FB769D">
              <w:t xml:space="preserve">technical support, and people moving in and out </w:t>
            </w:r>
            <w:r w:rsidR="00641F4F">
              <w:t xml:space="preserve">of the room </w:t>
            </w:r>
            <w:r w:rsidR="00FB769D">
              <w:t>from FBEC</w:t>
            </w:r>
            <w:r w:rsidR="00641F4F">
              <w:t xml:space="preserve"> which was meeting next door</w:t>
            </w:r>
            <w:r>
              <w:t xml:space="preserve">. </w:t>
            </w:r>
            <w:r w:rsidR="00FB769D">
              <w:t xml:space="preserve">We haven’t established what is normal post COVID.  A parent </w:t>
            </w:r>
            <w:r w:rsidR="000A61ED">
              <w:t xml:space="preserve">volunteer </w:t>
            </w:r>
            <w:r w:rsidR="00FB769D">
              <w:t>committee shouldn’t run exactly like a Trustee Committee</w:t>
            </w:r>
            <w:r w:rsidR="00787207">
              <w:t xml:space="preserve"> as it is an advisory committee not a decision</w:t>
            </w:r>
            <w:r w:rsidR="004210BE">
              <w:t>-</w:t>
            </w:r>
            <w:r w:rsidR="00787207">
              <w:t xml:space="preserve">making </w:t>
            </w:r>
            <w:r w:rsidR="00156E04">
              <w:t>committee</w:t>
            </w:r>
            <w:r w:rsidR="00FB769D">
              <w:t>. Who will be reviewing the CACs?</w:t>
            </w:r>
          </w:p>
          <w:p w14:paraId="2D0BB1F2" w14:textId="5C23DC9C" w:rsidR="00FB769D" w:rsidRDefault="00FB769D" w:rsidP="006723DA">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Staff: </w:t>
            </w:r>
            <w:r w:rsidR="009E4F0A">
              <w:t>The evaluation will include the committee’s self-</w:t>
            </w:r>
            <w:r>
              <w:t>evaluation</w:t>
            </w:r>
            <w:r w:rsidR="009E4F0A">
              <w:t xml:space="preserve">, </w:t>
            </w:r>
            <w:r>
              <w:t>the annual report</w:t>
            </w:r>
            <w:r w:rsidR="000064B1">
              <w:t xml:space="preserve">, the Terms of </w:t>
            </w:r>
            <w:proofErr w:type="gramStart"/>
            <w:r w:rsidR="000064B1">
              <w:t>Reference</w:t>
            </w:r>
            <w:proofErr w:type="gramEnd"/>
            <w:r>
              <w:t xml:space="preserve"> and the minutes.</w:t>
            </w:r>
            <w:r w:rsidR="00E84BD6">
              <w:t xml:space="preserve"> Staff will use a standard template to review and report on the CACs </w:t>
            </w:r>
            <w:r w:rsidR="008F18C3">
              <w:t>to Trustees</w:t>
            </w:r>
            <w:r w:rsidR="00135807">
              <w:t>.</w:t>
            </w:r>
          </w:p>
          <w:p w14:paraId="41C4ED44" w14:textId="2912823F" w:rsidR="00FB769D" w:rsidRDefault="00BF1530" w:rsidP="006723DA">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Trustee </w:t>
            </w:r>
            <w:r w:rsidR="00671C09">
              <w:t>Co-</w:t>
            </w:r>
            <w:r w:rsidR="00A4483B">
              <w:t>Chair</w:t>
            </w:r>
            <w:r>
              <w:t xml:space="preserve">: </w:t>
            </w:r>
            <w:r w:rsidR="00FB769D">
              <w:t>Other than SEAC and PIAC, the CACs are tools of the Board.</w:t>
            </w:r>
          </w:p>
          <w:p w14:paraId="26AEFC22" w14:textId="77777777" w:rsidR="006723DA" w:rsidRDefault="006723DA" w:rsidP="00A4483B">
            <w:p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p>
        </w:tc>
        <w:tc>
          <w:tcPr>
            <w:tcW w:w="2127" w:type="dxa"/>
          </w:tcPr>
          <w:p w14:paraId="220B677D" w14:textId="77777777" w:rsidR="006723DA" w:rsidRDefault="006723DA">
            <w:pPr>
              <w:spacing w:before="0" w:after="0"/>
              <w:cnfStyle w:val="000000000000" w:firstRow="0" w:lastRow="0" w:firstColumn="0" w:lastColumn="0" w:oddVBand="0" w:evenVBand="0" w:oddHBand="0" w:evenHBand="0" w:firstRowFirstColumn="0" w:firstRowLastColumn="0" w:lastRowFirstColumn="0" w:lastRowLastColumn="0"/>
              <w:rPr>
                <w:b/>
              </w:rPr>
            </w:pPr>
          </w:p>
        </w:tc>
      </w:tr>
      <w:tr w:rsidR="00FB769D" w14:paraId="25044635" w14:textId="77777777" w:rsidTr="00ED629C">
        <w:trPr>
          <w:trHeight w:val="722"/>
        </w:trPr>
        <w:tc>
          <w:tcPr>
            <w:cnfStyle w:val="001000000000" w:firstRow="0" w:lastRow="0" w:firstColumn="1" w:lastColumn="0" w:oddVBand="0" w:evenVBand="0" w:oddHBand="0" w:evenHBand="0" w:firstRowFirstColumn="0" w:firstRowLastColumn="0" w:lastRowFirstColumn="0" w:lastRowLastColumn="0"/>
            <w:tcW w:w="1980" w:type="dxa"/>
          </w:tcPr>
          <w:p w14:paraId="313AB522" w14:textId="5E7C10D4" w:rsidR="00FB769D" w:rsidRPr="00FB769D" w:rsidRDefault="00FB769D">
            <w:pPr>
              <w:spacing w:before="0" w:after="0"/>
              <w:rPr>
                <w:b w:val="0"/>
                <w:bCs/>
              </w:rPr>
            </w:pPr>
            <w:r>
              <w:rPr>
                <w:b w:val="0"/>
                <w:bCs/>
              </w:rPr>
              <w:t>10. Terms of Reference</w:t>
            </w:r>
          </w:p>
        </w:tc>
        <w:tc>
          <w:tcPr>
            <w:tcW w:w="9355" w:type="dxa"/>
          </w:tcPr>
          <w:p w14:paraId="344395D2" w14:textId="3E2CF6B1" w:rsidR="00FB769D" w:rsidRDefault="00BA53A1" w:rsidP="00BF1530">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Terms of Reference </w:t>
            </w:r>
            <w:r w:rsidR="001B6F59">
              <w:t xml:space="preserve">were shared </w:t>
            </w:r>
            <w:r>
              <w:t>ahead of the meeting by email</w:t>
            </w:r>
            <w:r w:rsidR="001B6F59">
              <w:t xml:space="preserve"> and will be discussed at a future meeting. </w:t>
            </w:r>
          </w:p>
        </w:tc>
        <w:tc>
          <w:tcPr>
            <w:tcW w:w="2127" w:type="dxa"/>
          </w:tcPr>
          <w:p w14:paraId="1FD7632C" w14:textId="77777777" w:rsidR="00FB769D" w:rsidRDefault="00FB769D">
            <w:pPr>
              <w:spacing w:before="0" w:after="0"/>
              <w:cnfStyle w:val="000000000000" w:firstRow="0" w:lastRow="0" w:firstColumn="0" w:lastColumn="0" w:oddVBand="0" w:evenVBand="0" w:oddHBand="0" w:evenHBand="0" w:firstRowFirstColumn="0" w:firstRowLastColumn="0" w:lastRowFirstColumn="0" w:lastRowLastColumn="0"/>
              <w:rPr>
                <w:b/>
              </w:rPr>
            </w:pPr>
          </w:p>
        </w:tc>
      </w:tr>
      <w:tr w:rsidR="00051C7D" w14:paraId="4E9D6867" w14:textId="77777777" w:rsidTr="00051C7D">
        <w:trPr>
          <w:trHeight w:val="1135"/>
        </w:trPr>
        <w:tc>
          <w:tcPr>
            <w:cnfStyle w:val="001000000000" w:firstRow="0" w:lastRow="0" w:firstColumn="1" w:lastColumn="0" w:oddVBand="0" w:evenVBand="0" w:oddHBand="0" w:evenHBand="0" w:firstRowFirstColumn="0" w:firstRowLastColumn="0" w:lastRowFirstColumn="0" w:lastRowLastColumn="0"/>
            <w:tcW w:w="1980" w:type="dxa"/>
          </w:tcPr>
          <w:p w14:paraId="57F684C6" w14:textId="791C6F28" w:rsidR="00051C7D" w:rsidRDefault="00BA53A1">
            <w:pPr>
              <w:spacing w:before="0" w:after="0"/>
            </w:pPr>
            <w:r>
              <w:rPr>
                <w:b w:val="0"/>
              </w:rPr>
              <w:t>11</w:t>
            </w:r>
            <w:r w:rsidR="00DB2D6A">
              <w:rPr>
                <w:b w:val="0"/>
              </w:rPr>
              <w:t>. French Review</w:t>
            </w:r>
            <w:r w:rsidR="009B4E67">
              <w:rPr>
                <w:b w:val="0"/>
              </w:rPr>
              <w:t>-staff report</w:t>
            </w:r>
          </w:p>
        </w:tc>
        <w:tc>
          <w:tcPr>
            <w:tcW w:w="9355" w:type="dxa"/>
          </w:tcPr>
          <w:p w14:paraId="615CD0B0" w14:textId="1DCD140C" w:rsidR="00CB71A0" w:rsidRDefault="00CB71A0" w:rsidP="00CB71A0">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Staff:  Bannockburn PS will be opening in September as a FI centre.  Kindergarten registration is complete; the before</w:t>
            </w:r>
            <w:r w:rsidR="004210BE">
              <w:t>-</w:t>
            </w:r>
            <w:r>
              <w:t>and</w:t>
            </w:r>
            <w:r w:rsidR="004210BE">
              <w:t>-</w:t>
            </w:r>
            <w:r>
              <w:t>after school program survey is complete.  Families will be invited to a welcome to kindergarten session in May.</w:t>
            </w:r>
          </w:p>
          <w:p w14:paraId="40BECEDF" w14:textId="77777777" w:rsidR="00CB71A0" w:rsidRDefault="00CB71A0" w:rsidP="00CB71A0">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Renovations to the site should be completed in August.  The school is opening as a K-3 school and will roll-up a grade each year until Grade 6.</w:t>
            </w:r>
          </w:p>
          <w:p w14:paraId="7313202B" w14:textId="72B956EB" w:rsidR="00CB71A0" w:rsidRDefault="00CB71A0" w:rsidP="00CB71A0">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Summer School: </w:t>
            </w:r>
            <w:r w:rsidR="004210BE">
              <w:t>Four</w:t>
            </w:r>
            <w:r>
              <w:t xml:space="preserve"> schools will host FI summer programs: </w:t>
            </w:r>
            <w:proofErr w:type="spellStart"/>
            <w:r>
              <w:t>Greenholme</w:t>
            </w:r>
            <w:proofErr w:type="spellEnd"/>
            <w:r>
              <w:t xml:space="preserve">, Nelson Mandela, Rawlinson and Tredway-Woodsworth. They will offer programs from grades 3-8 with Rawlinson as the exception, offering </w:t>
            </w:r>
            <w:r w:rsidR="004210BE">
              <w:t>G</w:t>
            </w:r>
            <w:r>
              <w:t>rades 1-8.</w:t>
            </w:r>
            <w:r w:rsidR="004210BE">
              <w:t xml:space="preserve"> </w:t>
            </w:r>
            <w:r>
              <w:t>The programs will have a focus on literacy and numeracy.</w:t>
            </w:r>
          </w:p>
          <w:p w14:paraId="3FC605AF" w14:textId="60B7159A" w:rsidR="00CB71A0" w:rsidRDefault="00CB71A0" w:rsidP="00CB71A0">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There is a limit on offering primary programming, because of soft demand in previous years.</w:t>
            </w:r>
          </w:p>
          <w:p w14:paraId="2AD4F25A" w14:textId="77777777" w:rsidR="00CB71A0" w:rsidRDefault="00CB71A0" w:rsidP="00CB71A0">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Long-term Planning and Accommodation Update: the annual planning document included a study on a grade change between Valleyfield JS and Hilltop MS to align the grades in the regular and French Immersion tracks at Valleyfield JS.  Valleyfield is currently K-5 English and K-6 French. A local feasibility team was convened to discuss which included the Principals, Superintendents, Trustee. The pathway for the Middle French Immersion will remain the same to Richview CI.</w:t>
            </w:r>
          </w:p>
          <w:p w14:paraId="46623020" w14:textId="17C15222" w:rsidR="00CB71A0" w:rsidRDefault="00CB71A0" w:rsidP="00CB71A0">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Trustee Chair:  We are aligning the programs, so that both streams enter middle school at </w:t>
            </w:r>
            <w:r w:rsidR="004210BE">
              <w:t>Grade</w:t>
            </w:r>
            <w:r>
              <w:t xml:space="preserve"> 6.</w:t>
            </w:r>
          </w:p>
          <w:p w14:paraId="3FDD15C4" w14:textId="6E78A3FC" w:rsidR="00CB71A0" w:rsidRDefault="00CB71A0" w:rsidP="00CB71A0">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lastRenderedPageBreak/>
              <w:t>Q: Will Lakeshore CI also be opening in September?</w:t>
            </w:r>
          </w:p>
          <w:p w14:paraId="1F98C763" w14:textId="569286A4" w:rsidR="00CB71A0" w:rsidRDefault="00CB71A0" w:rsidP="00CB71A0">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Staff:  Yes, as discussed at an earlier FSLCAC meeting, Lakeshore CI will be opening a FI program September 2024.</w:t>
            </w:r>
          </w:p>
          <w:p w14:paraId="4325E9DF" w14:textId="7047E1BC" w:rsidR="00CB71A0" w:rsidRDefault="00CB71A0" w:rsidP="00CB71A0">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As also mentioned in previous FSLCAC meetings, we are actively in two other Local Feasibility Studies – </w:t>
            </w:r>
            <w:proofErr w:type="spellStart"/>
            <w:r>
              <w:t>L’Amoreaux</w:t>
            </w:r>
            <w:proofErr w:type="spellEnd"/>
            <w:r>
              <w:t xml:space="preserve"> CI and Riverdale CI</w:t>
            </w:r>
            <w:r w:rsidR="004210BE">
              <w:t>.</w:t>
            </w:r>
            <w:r>
              <w:t xml:space="preserve"> </w:t>
            </w:r>
          </w:p>
          <w:p w14:paraId="2089DFBD" w14:textId="77777777" w:rsidR="00CB71A0" w:rsidRDefault="00CB71A0" w:rsidP="00CB71A0">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Q:  The French Review was started in 2018-2019.  There hasn’t been a follow-up report from the review concerning the issues of special education, transportation childcare, etc.  Is the data for those matters still available for those unaddressed areas?</w:t>
            </w:r>
          </w:p>
          <w:p w14:paraId="64591353" w14:textId="77F9724A" w:rsidR="00CB71A0" w:rsidRDefault="00CB71A0" w:rsidP="00CB71A0">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Staff:  Some of those items were addressed</w:t>
            </w:r>
            <w:r w:rsidR="004210BE">
              <w:t xml:space="preserve"> </w:t>
            </w:r>
            <w:r>
              <w:t>and continue to be the work we do through our yearly work plan. Transportation is tied to the budget constraints at the Board.</w:t>
            </w:r>
          </w:p>
          <w:p w14:paraId="484743CC" w14:textId="77777777" w:rsidR="00CB71A0" w:rsidRDefault="00CB71A0" w:rsidP="00CB71A0">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 xml:space="preserve">Special education and inclusion are a focus as we work to remove barriers for students. </w:t>
            </w:r>
          </w:p>
          <w:p w14:paraId="255A838A" w14:textId="431A999B" w:rsidR="002429C6" w:rsidRDefault="00CB71A0" w:rsidP="004E5D25">
            <w:pPr>
              <w:numPr>
                <w:ilvl w:val="0"/>
                <w:numId w:val="1"/>
              </w:numPr>
              <w:pBdr>
                <w:top w:val="nil"/>
                <w:left w:val="nil"/>
                <w:bottom w:val="nil"/>
                <w:right w:val="nil"/>
                <w:between w:val="nil"/>
              </w:pBdr>
              <w:spacing w:before="0" w:after="0"/>
              <w:ind w:left="357"/>
              <w:cnfStyle w:val="000000000000" w:firstRow="0" w:lastRow="0" w:firstColumn="0" w:lastColumn="0" w:oddVBand="0" w:evenVBand="0" w:oddHBand="0" w:evenHBand="0" w:firstRowFirstColumn="0" w:firstRowLastColumn="0" w:lastRowFirstColumn="0" w:lastRowLastColumn="0"/>
            </w:pPr>
            <w:r>
              <w:t>Trustee Chair:  Regarding transportation, it was last discussed in the budget year for 2019-2020 and taken off the table.  It has not resurfaced since then.</w:t>
            </w:r>
          </w:p>
        </w:tc>
        <w:tc>
          <w:tcPr>
            <w:tcW w:w="2127" w:type="dxa"/>
          </w:tcPr>
          <w:p w14:paraId="27E16CA7" w14:textId="77777777" w:rsidR="00051C7D" w:rsidRDefault="00DB2D6A">
            <w:pPr>
              <w:spacing w:before="0" w:after="0"/>
              <w:cnfStyle w:val="000000000000" w:firstRow="0" w:lastRow="0" w:firstColumn="0" w:lastColumn="0" w:oddVBand="0" w:evenVBand="0" w:oddHBand="0" w:evenHBand="0" w:firstRowFirstColumn="0" w:firstRowLastColumn="0" w:lastRowFirstColumn="0" w:lastRowLastColumn="0"/>
              <w:rPr>
                <w:b/>
              </w:rPr>
            </w:pPr>
            <w:r>
              <w:rPr>
                <w:b/>
              </w:rPr>
              <w:lastRenderedPageBreak/>
              <w:t>Standing Item</w:t>
            </w:r>
          </w:p>
          <w:p w14:paraId="1FEB5D2C" w14:textId="77777777" w:rsidR="00CE2F5D" w:rsidRDefault="00CE2F5D">
            <w:pPr>
              <w:spacing w:before="0" w:after="0"/>
              <w:cnfStyle w:val="000000000000" w:firstRow="0" w:lastRow="0" w:firstColumn="0" w:lastColumn="0" w:oddVBand="0" w:evenVBand="0" w:oddHBand="0" w:evenHBand="0" w:firstRowFirstColumn="0" w:firstRowLastColumn="0" w:lastRowFirstColumn="0" w:lastRowLastColumn="0"/>
              <w:rPr>
                <w:b/>
              </w:rPr>
            </w:pPr>
          </w:p>
          <w:p w14:paraId="1C74F9BC" w14:textId="4C1EE290" w:rsidR="00CE2F5D" w:rsidRPr="00122740" w:rsidRDefault="00CE2F5D">
            <w:pPr>
              <w:spacing w:before="0" w:after="0"/>
              <w:cnfStyle w:val="000000000000" w:firstRow="0" w:lastRow="0" w:firstColumn="0" w:lastColumn="0" w:oddVBand="0" w:evenVBand="0" w:oddHBand="0" w:evenHBand="0" w:firstRowFirstColumn="0" w:firstRowLastColumn="0" w:lastRowFirstColumn="0" w:lastRowLastColumn="0"/>
              <w:rPr>
                <w:bCs/>
                <w:u w:val="single"/>
              </w:rPr>
            </w:pPr>
          </w:p>
        </w:tc>
      </w:tr>
      <w:tr w:rsidR="00051C7D" w14:paraId="782BD80C" w14:textId="77777777" w:rsidTr="00051C7D">
        <w:trPr>
          <w:trHeight w:val="264"/>
        </w:trPr>
        <w:tc>
          <w:tcPr>
            <w:cnfStyle w:val="001000000000" w:firstRow="0" w:lastRow="0" w:firstColumn="1" w:lastColumn="0" w:oddVBand="0" w:evenVBand="0" w:oddHBand="0" w:evenHBand="0" w:firstRowFirstColumn="0" w:firstRowLastColumn="0" w:lastRowFirstColumn="0" w:lastRowLastColumn="0"/>
            <w:tcW w:w="1980" w:type="dxa"/>
          </w:tcPr>
          <w:p w14:paraId="07BB1FB9" w14:textId="4BA8F9D6" w:rsidR="00051C7D" w:rsidRDefault="009F2051">
            <w:pPr>
              <w:spacing w:after="0"/>
            </w:pPr>
            <w:r>
              <w:rPr>
                <w:b w:val="0"/>
              </w:rPr>
              <w:t>12</w:t>
            </w:r>
            <w:r w:rsidR="00DB2D6A">
              <w:rPr>
                <w:b w:val="0"/>
              </w:rPr>
              <w:t>. Adjournment</w:t>
            </w:r>
          </w:p>
        </w:tc>
        <w:tc>
          <w:tcPr>
            <w:tcW w:w="9355" w:type="dxa"/>
          </w:tcPr>
          <w:p w14:paraId="03B7F423" w14:textId="77777777" w:rsidR="00051C7D" w:rsidRDefault="009F2051" w:rsidP="000638F1">
            <w:pPr>
              <w:pStyle w:val="ListParagraph"/>
              <w:widowControl w:val="0"/>
              <w:numPr>
                <w:ilvl w:val="0"/>
                <w:numId w:val="4"/>
              </w:numPr>
              <w:pBdr>
                <w:top w:val="nil"/>
                <w:left w:val="nil"/>
                <w:bottom w:val="nil"/>
                <w:right w:val="nil"/>
                <w:between w:val="nil"/>
              </w:pBdr>
              <w:tabs>
                <w:tab w:val="left" w:pos="1639"/>
                <w:tab w:val="left" w:pos="3430"/>
              </w:tabs>
              <w:spacing w:before="0" w:after="0" w:line="240" w:lineRule="auto"/>
              <w:ind w:right="-20"/>
              <w:cnfStyle w:val="000000000000" w:firstRow="0" w:lastRow="0" w:firstColumn="0" w:lastColumn="0" w:oddVBand="0" w:evenVBand="0" w:oddHBand="0" w:evenHBand="0" w:firstRowFirstColumn="0" w:firstRowLastColumn="0" w:lastRowFirstColumn="0" w:lastRowLastColumn="0"/>
            </w:pPr>
            <w:r>
              <w:t>Motion to adjourn.  Randy Samuel moves, Lisa McAvoy seconds.  Carried.</w:t>
            </w:r>
          </w:p>
          <w:p w14:paraId="703E9905" w14:textId="49EE89EC" w:rsidR="009F2051" w:rsidRDefault="009F2051" w:rsidP="009F2051">
            <w:pPr>
              <w:pStyle w:val="ListParagraph"/>
              <w:widowControl w:val="0"/>
              <w:pBdr>
                <w:top w:val="nil"/>
                <w:left w:val="nil"/>
                <w:bottom w:val="nil"/>
                <w:right w:val="nil"/>
                <w:between w:val="nil"/>
              </w:pBdr>
              <w:tabs>
                <w:tab w:val="left" w:pos="1639"/>
                <w:tab w:val="left" w:pos="3430"/>
              </w:tabs>
              <w:spacing w:before="0" w:after="0" w:line="240" w:lineRule="auto"/>
              <w:ind w:left="360" w:right="-20"/>
              <w:cnfStyle w:val="000000000000" w:firstRow="0" w:lastRow="0" w:firstColumn="0" w:lastColumn="0" w:oddVBand="0" w:evenVBand="0" w:oddHBand="0" w:evenHBand="0" w:firstRowFirstColumn="0" w:firstRowLastColumn="0" w:lastRowFirstColumn="0" w:lastRowLastColumn="0"/>
            </w:pPr>
          </w:p>
        </w:tc>
        <w:tc>
          <w:tcPr>
            <w:tcW w:w="2127" w:type="dxa"/>
          </w:tcPr>
          <w:p w14:paraId="2C8151CC" w14:textId="77777777" w:rsidR="00051C7D" w:rsidRDefault="00051C7D">
            <w:pPr>
              <w:spacing w:after="0"/>
              <w:cnfStyle w:val="000000000000" w:firstRow="0" w:lastRow="0" w:firstColumn="0" w:lastColumn="0" w:oddVBand="0" w:evenVBand="0" w:oddHBand="0" w:evenHBand="0" w:firstRowFirstColumn="0" w:firstRowLastColumn="0" w:lastRowFirstColumn="0" w:lastRowLastColumn="0"/>
            </w:pPr>
          </w:p>
        </w:tc>
      </w:tr>
      <w:tr w:rsidR="00051C7D" w14:paraId="72AE7E20" w14:textId="77777777" w:rsidTr="00051C7D">
        <w:trPr>
          <w:trHeight w:val="264"/>
        </w:trPr>
        <w:tc>
          <w:tcPr>
            <w:cnfStyle w:val="001000000000" w:firstRow="0" w:lastRow="0" w:firstColumn="1" w:lastColumn="0" w:oddVBand="0" w:evenVBand="0" w:oddHBand="0" w:evenHBand="0" w:firstRowFirstColumn="0" w:firstRowLastColumn="0" w:lastRowFirstColumn="0" w:lastRowLastColumn="0"/>
            <w:tcW w:w="1980" w:type="dxa"/>
          </w:tcPr>
          <w:p w14:paraId="450C3580" w14:textId="77777777" w:rsidR="00051C7D" w:rsidRDefault="00DB2D6A">
            <w:pPr>
              <w:spacing w:after="0"/>
            </w:pPr>
            <w:r>
              <w:rPr>
                <w:b w:val="0"/>
              </w:rPr>
              <w:t>Next Meetings</w:t>
            </w:r>
          </w:p>
        </w:tc>
        <w:tc>
          <w:tcPr>
            <w:tcW w:w="9355" w:type="dxa"/>
          </w:tcPr>
          <w:p w14:paraId="006D5422" w14:textId="17CE74AC" w:rsidR="00051C7D" w:rsidRDefault="009F2051">
            <w:pPr>
              <w:spacing w:before="0" w:after="0" w:line="240" w:lineRule="auto"/>
              <w:cnfStyle w:val="000000000000" w:firstRow="0" w:lastRow="0" w:firstColumn="0" w:lastColumn="0" w:oddVBand="0" w:evenVBand="0" w:oddHBand="0" w:evenHBand="0" w:firstRowFirstColumn="0" w:firstRowLastColumn="0" w:lastRowFirstColumn="0" w:lastRowLastColumn="0"/>
            </w:pPr>
            <w:r>
              <w:t>May 14</w:t>
            </w:r>
            <w:r w:rsidR="00DB2D6A">
              <w:t xml:space="preserve"> @ 7:00 PM-9:00 PM</w:t>
            </w:r>
            <w:r w:rsidR="00F92D58">
              <w:t>.  Virtual Meeting</w:t>
            </w:r>
            <w:r w:rsidR="00DB2D6A">
              <w:t>.</w:t>
            </w:r>
          </w:p>
          <w:p w14:paraId="7D414DA7" w14:textId="77777777" w:rsidR="00051C7D" w:rsidRDefault="00051C7D">
            <w:pPr>
              <w:spacing w:before="0" w:after="0" w:line="240" w:lineRule="auto"/>
              <w:cnfStyle w:val="000000000000" w:firstRow="0" w:lastRow="0" w:firstColumn="0" w:lastColumn="0" w:oddVBand="0" w:evenVBand="0" w:oddHBand="0" w:evenHBand="0" w:firstRowFirstColumn="0" w:firstRowLastColumn="0" w:lastRowFirstColumn="0" w:lastRowLastColumn="0"/>
            </w:pPr>
          </w:p>
          <w:p w14:paraId="1B3DCB1D" w14:textId="104A1CE9" w:rsidR="00051C7D" w:rsidRDefault="00DB2D6A">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Upcoming meetings: June 11 </w:t>
            </w:r>
          </w:p>
        </w:tc>
        <w:tc>
          <w:tcPr>
            <w:tcW w:w="2127" w:type="dxa"/>
          </w:tcPr>
          <w:p w14:paraId="2CA5E0D1" w14:textId="77777777" w:rsidR="00051C7D" w:rsidRDefault="00051C7D">
            <w:pPr>
              <w:spacing w:after="0"/>
              <w:cnfStyle w:val="000000000000" w:firstRow="0" w:lastRow="0" w:firstColumn="0" w:lastColumn="0" w:oddVBand="0" w:evenVBand="0" w:oddHBand="0" w:evenHBand="0" w:firstRowFirstColumn="0" w:firstRowLastColumn="0" w:lastRowFirstColumn="0" w:lastRowLastColumn="0"/>
            </w:pPr>
          </w:p>
        </w:tc>
      </w:tr>
    </w:tbl>
    <w:p w14:paraId="2B29876A" w14:textId="0CAD3D16" w:rsidR="004E5D25" w:rsidRDefault="004E5D25">
      <w:pPr>
        <w:spacing w:before="0" w:after="0"/>
        <w:rPr>
          <w:rFonts w:ascii="Calibri" w:eastAsia="Calibri" w:hAnsi="Calibri" w:cs="Calibri"/>
          <w:b/>
          <w:u w:val="single"/>
        </w:rPr>
      </w:pPr>
    </w:p>
    <w:p w14:paraId="6D0D3EF2" w14:textId="77777777" w:rsidR="004E5D25" w:rsidRDefault="004E5D25">
      <w:pPr>
        <w:rPr>
          <w:rFonts w:ascii="Calibri" w:eastAsia="Calibri" w:hAnsi="Calibri" w:cs="Calibri"/>
          <w:b/>
          <w:u w:val="single"/>
        </w:rPr>
      </w:pPr>
      <w:r>
        <w:rPr>
          <w:rFonts w:ascii="Calibri" w:eastAsia="Calibri" w:hAnsi="Calibri" w:cs="Calibri"/>
          <w:b/>
          <w:u w:val="single"/>
        </w:rPr>
        <w:br w:type="page"/>
      </w:r>
    </w:p>
    <w:p w14:paraId="35AB6E24" w14:textId="7AC265CD" w:rsidR="00051C7D" w:rsidRPr="00756B62" w:rsidRDefault="004E5D25" w:rsidP="00756B62">
      <w:pPr>
        <w:spacing w:before="0" w:after="0"/>
        <w:jc w:val="center"/>
        <w:rPr>
          <w:rFonts w:eastAsia="Calibri"/>
          <w:b/>
          <w:u w:val="single"/>
        </w:rPr>
      </w:pPr>
      <w:r w:rsidRPr="00756B62">
        <w:rPr>
          <w:rFonts w:eastAsia="Calibri"/>
          <w:b/>
          <w:u w:val="single"/>
        </w:rPr>
        <w:lastRenderedPageBreak/>
        <w:t>Appendix</w:t>
      </w:r>
    </w:p>
    <w:p w14:paraId="36186B39" w14:textId="77777777" w:rsidR="004E5D25" w:rsidRDefault="004E5D25">
      <w:pPr>
        <w:spacing w:before="0" w:after="0"/>
        <w:rPr>
          <w:rFonts w:ascii="Calibri" w:eastAsia="Calibri" w:hAnsi="Calibri" w:cs="Calibri"/>
          <w:b/>
          <w:u w:val="single"/>
        </w:rPr>
      </w:pPr>
    </w:p>
    <w:p w14:paraId="7244991D" w14:textId="77777777" w:rsidR="004E5D25" w:rsidRDefault="004E5D25" w:rsidP="004E5D25">
      <w:pPr>
        <w:rPr>
          <w:b/>
          <w:bCs/>
        </w:rPr>
      </w:pPr>
      <w:r>
        <w:rPr>
          <w:b/>
          <w:bCs/>
        </w:rPr>
        <w:t>Context:</w:t>
      </w:r>
    </w:p>
    <w:p w14:paraId="4CB2E1C0" w14:textId="2FCE5AB4" w:rsidR="004E5D25" w:rsidRDefault="004E5D25" w:rsidP="004E5D25">
      <w:r>
        <w:t>P067 Learning Opportunities Index (LOI) Policy is scheduled for public consultation in April 2024. FSLCAC had staff presentations on the LOI in November 2023 and January 2024. As LOI has not previously been discussed at the FSLCAC, our parent co-</w:t>
      </w:r>
      <w:r w:rsidR="00A4483B">
        <w:t>Chair</w:t>
      </w:r>
      <w:r>
        <w:t xml:space="preserve"> requires some direction from the committee on what to say at the consultation and in any opportunities to delegate. </w:t>
      </w:r>
    </w:p>
    <w:p w14:paraId="058B521A" w14:textId="77777777" w:rsidR="004E5D25" w:rsidRDefault="004E5D25" w:rsidP="004E5D25">
      <w:r>
        <w:t xml:space="preserve">In May 2022, the Inner City Community Advisory Committee sent a recommendation to the Board that French Immersion students be removed from the data collected for the LOI. Trustees referred it back to staff. </w:t>
      </w:r>
    </w:p>
    <w:p w14:paraId="4CD970A2" w14:textId="77777777" w:rsidR="004E5D25" w:rsidRDefault="004E5D25" w:rsidP="004E5D25">
      <w:pPr>
        <w:rPr>
          <w:b/>
          <w:bCs/>
        </w:rPr>
      </w:pPr>
      <w:r>
        <w:rPr>
          <w:b/>
          <w:bCs/>
        </w:rPr>
        <w:t>French immersion site selection:</w:t>
      </w:r>
    </w:p>
    <w:p w14:paraId="4CC2D1BD" w14:textId="77777777" w:rsidR="004E5D25" w:rsidRDefault="004E5D25" w:rsidP="004E5D25">
      <w:r>
        <w:t xml:space="preserve">FI sites chosen by TDSB planning and FSL staff over the last several years were intended to bring FI programs to underserved areas to improve inclusion across socio-economic and race groups. </w:t>
      </w:r>
    </w:p>
    <w:p w14:paraId="68F52629" w14:textId="77777777" w:rsidR="004E5D25" w:rsidRDefault="004E5D25" w:rsidP="004E5D25">
      <w:r>
        <w:t xml:space="preserve">New FI sites have a basic requirement that there be sufficient space in the school to add students as most FI sites draw students from its own and surrounding English catchments. </w:t>
      </w:r>
    </w:p>
    <w:p w14:paraId="1FC5DF51" w14:textId="77777777" w:rsidR="004E5D25" w:rsidRDefault="004E5D25" w:rsidP="004E5D25">
      <w:pPr>
        <w:rPr>
          <w:b/>
          <w:bCs/>
        </w:rPr>
      </w:pPr>
      <w:r>
        <w:rPr>
          <w:b/>
          <w:bCs/>
        </w:rPr>
        <w:t>Analysis of LOI and French Immersion:</w:t>
      </w:r>
    </w:p>
    <w:p w14:paraId="0514F9E6" w14:textId="77777777" w:rsidR="004E5D25" w:rsidRDefault="004E5D25" w:rsidP="004E5D25">
      <w:pPr>
        <w:rPr>
          <w:b/>
          <w:bCs/>
        </w:rPr>
      </w:pPr>
      <w:r>
        <w:rPr>
          <w:b/>
          <w:bCs/>
        </w:rPr>
        <w:t>LOI COMPARISONS SELECTED FI SITES AND ENGLISH SINGLE TRACKS</w:t>
      </w:r>
    </w:p>
    <w:tbl>
      <w:tblPr>
        <w:tblStyle w:val="TableGrid"/>
        <w:tblW w:w="0" w:type="auto"/>
        <w:tblInd w:w="0" w:type="dxa"/>
        <w:tblLook w:val="04A0" w:firstRow="1" w:lastRow="0" w:firstColumn="1" w:lastColumn="0" w:noHBand="0" w:noVBand="1"/>
      </w:tblPr>
      <w:tblGrid>
        <w:gridCol w:w="1307"/>
        <w:gridCol w:w="1485"/>
        <w:gridCol w:w="951"/>
        <w:gridCol w:w="485"/>
        <w:gridCol w:w="738"/>
        <w:gridCol w:w="738"/>
        <w:gridCol w:w="738"/>
        <w:gridCol w:w="738"/>
        <w:gridCol w:w="738"/>
        <w:gridCol w:w="358"/>
        <w:gridCol w:w="806"/>
        <w:gridCol w:w="738"/>
      </w:tblGrid>
      <w:tr w:rsidR="004E5D25" w14:paraId="15450261" w14:textId="77777777" w:rsidTr="004E5D25">
        <w:tc>
          <w:tcPr>
            <w:tcW w:w="1264" w:type="dxa"/>
            <w:tcBorders>
              <w:top w:val="single" w:sz="4" w:space="0" w:color="auto"/>
              <w:left w:val="single" w:sz="4" w:space="0" w:color="auto"/>
              <w:bottom w:val="single" w:sz="4" w:space="0" w:color="auto"/>
              <w:right w:val="single" w:sz="4" w:space="0" w:color="auto"/>
            </w:tcBorders>
            <w:hideMark/>
          </w:tcPr>
          <w:p w14:paraId="10C3AD5F" w14:textId="77777777" w:rsidR="004E5D25" w:rsidRDefault="004E5D25">
            <w:r>
              <w:t>Elementary School</w:t>
            </w:r>
          </w:p>
        </w:tc>
        <w:tc>
          <w:tcPr>
            <w:tcW w:w="1432" w:type="dxa"/>
            <w:tcBorders>
              <w:top w:val="single" w:sz="4" w:space="0" w:color="auto"/>
              <w:left w:val="single" w:sz="4" w:space="0" w:color="auto"/>
              <w:bottom w:val="single" w:sz="4" w:space="0" w:color="auto"/>
              <w:right w:val="single" w:sz="4" w:space="0" w:color="auto"/>
            </w:tcBorders>
            <w:hideMark/>
          </w:tcPr>
          <w:p w14:paraId="3DDECD8F" w14:textId="77777777" w:rsidR="004E5D25" w:rsidRDefault="004E5D25">
            <w:r>
              <w:t>Ward</w:t>
            </w:r>
          </w:p>
        </w:tc>
        <w:tc>
          <w:tcPr>
            <w:tcW w:w="936" w:type="dxa"/>
            <w:tcBorders>
              <w:top w:val="single" w:sz="4" w:space="0" w:color="auto"/>
              <w:left w:val="single" w:sz="4" w:space="0" w:color="auto"/>
              <w:bottom w:val="single" w:sz="4" w:space="0" w:color="auto"/>
              <w:right w:val="single" w:sz="4" w:space="0" w:color="auto"/>
            </w:tcBorders>
            <w:hideMark/>
          </w:tcPr>
          <w:p w14:paraId="2780BBB2" w14:textId="77777777" w:rsidR="004E5D25" w:rsidRDefault="004E5D25">
            <w:r>
              <w:t>FI start year</w:t>
            </w:r>
          </w:p>
        </w:tc>
        <w:tc>
          <w:tcPr>
            <w:tcW w:w="485" w:type="dxa"/>
            <w:tcBorders>
              <w:top w:val="single" w:sz="4" w:space="0" w:color="auto"/>
              <w:left w:val="single" w:sz="4" w:space="0" w:color="auto"/>
              <w:bottom w:val="single" w:sz="4" w:space="0" w:color="auto"/>
              <w:right w:val="single" w:sz="4" w:space="0" w:color="auto"/>
            </w:tcBorders>
            <w:shd w:val="clear" w:color="auto" w:fill="EEECE1" w:themeFill="background2"/>
          </w:tcPr>
          <w:p w14:paraId="10AD5FDA" w14:textId="77777777" w:rsidR="004E5D25" w:rsidRDefault="004E5D25">
            <w:pPr>
              <w:jc w:val="center"/>
            </w:pPr>
          </w:p>
        </w:tc>
        <w:tc>
          <w:tcPr>
            <w:tcW w:w="3354" w:type="dxa"/>
            <w:gridSpan w:val="5"/>
            <w:tcBorders>
              <w:top w:val="single" w:sz="4" w:space="0" w:color="auto"/>
              <w:left w:val="single" w:sz="4" w:space="0" w:color="auto"/>
              <w:bottom w:val="single" w:sz="4" w:space="0" w:color="auto"/>
              <w:right w:val="single" w:sz="4" w:space="0" w:color="auto"/>
            </w:tcBorders>
            <w:hideMark/>
          </w:tcPr>
          <w:p w14:paraId="6642ECE9" w14:textId="77777777" w:rsidR="004E5D25" w:rsidRDefault="004E5D25">
            <w:pPr>
              <w:jc w:val="center"/>
            </w:pPr>
            <w:r>
              <w:t>LOI Rank</w:t>
            </w:r>
          </w:p>
        </w:tc>
        <w:tc>
          <w:tcPr>
            <w:tcW w:w="358" w:type="dxa"/>
            <w:tcBorders>
              <w:top w:val="single" w:sz="4" w:space="0" w:color="auto"/>
              <w:left w:val="single" w:sz="4" w:space="0" w:color="auto"/>
              <w:bottom w:val="single" w:sz="4" w:space="0" w:color="auto"/>
              <w:right w:val="single" w:sz="4" w:space="0" w:color="auto"/>
            </w:tcBorders>
            <w:shd w:val="clear" w:color="auto" w:fill="EEECE1" w:themeFill="background2"/>
          </w:tcPr>
          <w:p w14:paraId="308781C2" w14:textId="77777777" w:rsidR="004E5D25" w:rsidRDefault="004E5D25">
            <w:pPr>
              <w:jc w:val="center"/>
            </w:pPr>
          </w:p>
        </w:tc>
        <w:tc>
          <w:tcPr>
            <w:tcW w:w="1521" w:type="dxa"/>
            <w:gridSpan w:val="2"/>
            <w:tcBorders>
              <w:top w:val="single" w:sz="4" w:space="0" w:color="auto"/>
              <w:left w:val="single" w:sz="4" w:space="0" w:color="auto"/>
              <w:bottom w:val="single" w:sz="4" w:space="0" w:color="auto"/>
              <w:right w:val="single" w:sz="4" w:space="0" w:color="auto"/>
            </w:tcBorders>
            <w:hideMark/>
          </w:tcPr>
          <w:p w14:paraId="5989C485" w14:textId="77777777" w:rsidR="004E5D25" w:rsidRDefault="004E5D25">
            <w:pPr>
              <w:jc w:val="center"/>
            </w:pPr>
            <w:r>
              <w:t>Utilization</w:t>
            </w:r>
          </w:p>
        </w:tc>
      </w:tr>
      <w:tr w:rsidR="004E5D25" w14:paraId="2B8E76EF" w14:textId="77777777" w:rsidTr="004E5D25">
        <w:tc>
          <w:tcPr>
            <w:tcW w:w="1264" w:type="dxa"/>
            <w:tcBorders>
              <w:top w:val="single" w:sz="4" w:space="0" w:color="auto"/>
              <w:left w:val="single" w:sz="4" w:space="0" w:color="auto"/>
              <w:bottom w:val="single" w:sz="4" w:space="0" w:color="auto"/>
              <w:right w:val="single" w:sz="4" w:space="0" w:color="auto"/>
            </w:tcBorders>
          </w:tcPr>
          <w:p w14:paraId="1378F179" w14:textId="77777777" w:rsidR="004E5D25" w:rsidRDefault="004E5D25"/>
        </w:tc>
        <w:tc>
          <w:tcPr>
            <w:tcW w:w="1432" w:type="dxa"/>
            <w:tcBorders>
              <w:top w:val="single" w:sz="4" w:space="0" w:color="auto"/>
              <w:left w:val="single" w:sz="4" w:space="0" w:color="auto"/>
              <w:bottom w:val="single" w:sz="4" w:space="0" w:color="auto"/>
              <w:right w:val="single" w:sz="4" w:space="0" w:color="auto"/>
            </w:tcBorders>
          </w:tcPr>
          <w:p w14:paraId="21D46535" w14:textId="77777777" w:rsidR="004E5D25" w:rsidRDefault="004E5D25"/>
        </w:tc>
        <w:tc>
          <w:tcPr>
            <w:tcW w:w="936" w:type="dxa"/>
            <w:tcBorders>
              <w:top w:val="single" w:sz="4" w:space="0" w:color="auto"/>
              <w:left w:val="single" w:sz="4" w:space="0" w:color="auto"/>
              <w:bottom w:val="single" w:sz="4" w:space="0" w:color="auto"/>
              <w:right w:val="single" w:sz="4" w:space="0" w:color="auto"/>
            </w:tcBorders>
          </w:tcPr>
          <w:p w14:paraId="6C3B6935" w14:textId="77777777" w:rsidR="004E5D25" w:rsidRDefault="004E5D25"/>
        </w:tc>
        <w:tc>
          <w:tcPr>
            <w:tcW w:w="485" w:type="dxa"/>
            <w:tcBorders>
              <w:top w:val="single" w:sz="4" w:space="0" w:color="auto"/>
              <w:left w:val="single" w:sz="4" w:space="0" w:color="auto"/>
              <w:bottom w:val="single" w:sz="4" w:space="0" w:color="auto"/>
              <w:right w:val="single" w:sz="4" w:space="0" w:color="auto"/>
            </w:tcBorders>
            <w:shd w:val="clear" w:color="auto" w:fill="EEECE1" w:themeFill="background2"/>
          </w:tcPr>
          <w:p w14:paraId="3E4016FB" w14:textId="77777777" w:rsidR="004E5D25" w:rsidRDefault="004E5D25"/>
        </w:tc>
        <w:tc>
          <w:tcPr>
            <w:tcW w:w="663" w:type="dxa"/>
            <w:tcBorders>
              <w:top w:val="single" w:sz="4" w:space="0" w:color="auto"/>
              <w:left w:val="single" w:sz="4" w:space="0" w:color="auto"/>
              <w:bottom w:val="single" w:sz="4" w:space="0" w:color="auto"/>
              <w:right w:val="single" w:sz="4" w:space="0" w:color="auto"/>
            </w:tcBorders>
            <w:hideMark/>
          </w:tcPr>
          <w:p w14:paraId="3BBE776C" w14:textId="77777777" w:rsidR="004E5D25" w:rsidRDefault="004E5D25">
            <w:pPr>
              <w:rPr>
                <w:b/>
                <w:bCs/>
              </w:rPr>
            </w:pPr>
            <w:r>
              <w:rPr>
                <w:b/>
                <w:bCs/>
              </w:rPr>
              <w:t>2023</w:t>
            </w:r>
          </w:p>
        </w:tc>
        <w:tc>
          <w:tcPr>
            <w:tcW w:w="663" w:type="dxa"/>
            <w:tcBorders>
              <w:top w:val="single" w:sz="4" w:space="0" w:color="auto"/>
              <w:left w:val="single" w:sz="4" w:space="0" w:color="auto"/>
              <w:bottom w:val="single" w:sz="4" w:space="0" w:color="auto"/>
              <w:right w:val="single" w:sz="4" w:space="0" w:color="auto"/>
            </w:tcBorders>
            <w:hideMark/>
          </w:tcPr>
          <w:p w14:paraId="14F834B7" w14:textId="77777777" w:rsidR="004E5D25" w:rsidRDefault="004E5D25">
            <w:pPr>
              <w:rPr>
                <w:b/>
                <w:bCs/>
              </w:rPr>
            </w:pPr>
            <w:r>
              <w:rPr>
                <w:b/>
                <w:bCs/>
              </w:rPr>
              <w:t>2020</w:t>
            </w:r>
          </w:p>
        </w:tc>
        <w:tc>
          <w:tcPr>
            <w:tcW w:w="663" w:type="dxa"/>
            <w:tcBorders>
              <w:top w:val="single" w:sz="4" w:space="0" w:color="auto"/>
              <w:left w:val="single" w:sz="4" w:space="0" w:color="auto"/>
              <w:bottom w:val="single" w:sz="4" w:space="0" w:color="auto"/>
              <w:right w:val="single" w:sz="4" w:space="0" w:color="auto"/>
            </w:tcBorders>
            <w:hideMark/>
          </w:tcPr>
          <w:p w14:paraId="110B1917" w14:textId="77777777" w:rsidR="004E5D25" w:rsidRDefault="004E5D25">
            <w:pPr>
              <w:rPr>
                <w:b/>
                <w:bCs/>
              </w:rPr>
            </w:pPr>
            <w:r>
              <w:rPr>
                <w:b/>
                <w:bCs/>
              </w:rPr>
              <w:t>2017</w:t>
            </w:r>
          </w:p>
        </w:tc>
        <w:tc>
          <w:tcPr>
            <w:tcW w:w="668" w:type="dxa"/>
            <w:tcBorders>
              <w:top w:val="single" w:sz="4" w:space="0" w:color="auto"/>
              <w:left w:val="single" w:sz="4" w:space="0" w:color="auto"/>
              <w:bottom w:val="single" w:sz="4" w:space="0" w:color="auto"/>
              <w:right w:val="single" w:sz="4" w:space="0" w:color="auto"/>
            </w:tcBorders>
            <w:hideMark/>
          </w:tcPr>
          <w:p w14:paraId="71CE3B34" w14:textId="77777777" w:rsidR="004E5D25" w:rsidRDefault="004E5D25">
            <w:pPr>
              <w:rPr>
                <w:b/>
                <w:bCs/>
              </w:rPr>
            </w:pPr>
            <w:r>
              <w:rPr>
                <w:b/>
                <w:bCs/>
              </w:rPr>
              <w:t>2014</w:t>
            </w:r>
          </w:p>
        </w:tc>
        <w:tc>
          <w:tcPr>
            <w:tcW w:w="697" w:type="dxa"/>
            <w:tcBorders>
              <w:top w:val="single" w:sz="4" w:space="0" w:color="auto"/>
              <w:left w:val="single" w:sz="4" w:space="0" w:color="auto"/>
              <w:bottom w:val="single" w:sz="4" w:space="0" w:color="auto"/>
              <w:right w:val="single" w:sz="4" w:space="0" w:color="auto"/>
            </w:tcBorders>
            <w:hideMark/>
          </w:tcPr>
          <w:p w14:paraId="0FC22E68" w14:textId="77777777" w:rsidR="004E5D25" w:rsidRDefault="004E5D25">
            <w:pPr>
              <w:rPr>
                <w:b/>
                <w:bCs/>
              </w:rPr>
            </w:pPr>
            <w:r>
              <w:rPr>
                <w:b/>
                <w:bCs/>
              </w:rPr>
              <w:t>2011</w:t>
            </w:r>
          </w:p>
        </w:tc>
        <w:tc>
          <w:tcPr>
            <w:tcW w:w="358" w:type="dxa"/>
            <w:tcBorders>
              <w:top w:val="single" w:sz="4" w:space="0" w:color="auto"/>
              <w:left w:val="single" w:sz="4" w:space="0" w:color="auto"/>
              <w:bottom w:val="single" w:sz="4" w:space="0" w:color="auto"/>
              <w:right w:val="single" w:sz="4" w:space="0" w:color="auto"/>
            </w:tcBorders>
            <w:shd w:val="clear" w:color="auto" w:fill="EEECE1" w:themeFill="background2"/>
          </w:tcPr>
          <w:p w14:paraId="277B10A4" w14:textId="77777777" w:rsidR="004E5D25" w:rsidRDefault="004E5D25">
            <w:pPr>
              <w:rPr>
                <w:b/>
                <w:bCs/>
              </w:rPr>
            </w:pPr>
          </w:p>
        </w:tc>
        <w:tc>
          <w:tcPr>
            <w:tcW w:w="806" w:type="dxa"/>
            <w:tcBorders>
              <w:top w:val="single" w:sz="4" w:space="0" w:color="auto"/>
              <w:left w:val="single" w:sz="4" w:space="0" w:color="auto"/>
              <w:bottom w:val="single" w:sz="4" w:space="0" w:color="auto"/>
              <w:right w:val="single" w:sz="4" w:space="0" w:color="auto"/>
            </w:tcBorders>
            <w:hideMark/>
          </w:tcPr>
          <w:p w14:paraId="373A3AA5" w14:textId="77777777" w:rsidR="004E5D25" w:rsidRDefault="004E5D25">
            <w:pPr>
              <w:rPr>
                <w:b/>
                <w:bCs/>
              </w:rPr>
            </w:pPr>
            <w:r>
              <w:rPr>
                <w:b/>
                <w:bCs/>
              </w:rPr>
              <w:t>2022</w:t>
            </w:r>
          </w:p>
        </w:tc>
        <w:tc>
          <w:tcPr>
            <w:tcW w:w="715" w:type="dxa"/>
            <w:tcBorders>
              <w:top w:val="single" w:sz="4" w:space="0" w:color="auto"/>
              <w:left w:val="single" w:sz="4" w:space="0" w:color="auto"/>
              <w:bottom w:val="single" w:sz="4" w:space="0" w:color="auto"/>
              <w:right w:val="single" w:sz="4" w:space="0" w:color="auto"/>
            </w:tcBorders>
            <w:hideMark/>
          </w:tcPr>
          <w:p w14:paraId="4FE8A854" w14:textId="77777777" w:rsidR="004E5D25" w:rsidRDefault="004E5D25">
            <w:pPr>
              <w:rPr>
                <w:b/>
                <w:bCs/>
              </w:rPr>
            </w:pPr>
            <w:r>
              <w:rPr>
                <w:b/>
                <w:bCs/>
              </w:rPr>
              <w:t>2011</w:t>
            </w:r>
          </w:p>
        </w:tc>
      </w:tr>
      <w:tr w:rsidR="004E5D25" w14:paraId="33068B1B" w14:textId="77777777" w:rsidTr="004E5D25">
        <w:tc>
          <w:tcPr>
            <w:tcW w:w="1264" w:type="dxa"/>
            <w:tcBorders>
              <w:top w:val="single" w:sz="4" w:space="0" w:color="auto"/>
              <w:left w:val="single" w:sz="4" w:space="0" w:color="auto"/>
              <w:bottom w:val="single" w:sz="4" w:space="0" w:color="auto"/>
              <w:right w:val="single" w:sz="4" w:space="0" w:color="auto"/>
            </w:tcBorders>
          </w:tcPr>
          <w:p w14:paraId="13756F31" w14:textId="77777777" w:rsidR="004E5D25" w:rsidRDefault="004E5D25">
            <w:r>
              <w:t>Melody Village</w:t>
            </w:r>
          </w:p>
          <w:p w14:paraId="1B375F67" w14:textId="77777777" w:rsidR="004E5D25" w:rsidRDefault="004E5D25"/>
        </w:tc>
        <w:tc>
          <w:tcPr>
            <w:tcW w:w="1432" w:type="dxa"/>
            <w:tcBorders>
              <w:top w:val="single" w:sz="4" w:space="0" w:color="auto"/>
              <w:left w:val="single" w:sz="4" w:space="0" w:color="auto"/>
              <w:bottom w:val="single" w:sz="4" w:space="0" w:color="auto"/>
              <w:right w:val="single" w:sz="4" w:space="0" w:color="auto"/>
            </w:tcBorders>
            <w:hideMark/>
          </w:tcPr>
          <w:p w14:paraId="3653B987" w14:textId="77777777" w:rsidR="004E5D25" w:rsidRDefault="004E5D25">
            <w:r>
              <w:t>W1 Etobicoke North</w:t>
            </w:r>
          </w:p>
        </w:tc>
        <w:tc>
          <w:tcPr>
            <w:tcW w:w="936" w:type="dxa"/>
            <w:tcBorders>
              <w:top w:val="single" w:sz="4" w:space="0" w:color="auto"/>
              <w:left w:val="single" w:sz="4" w:space="0" w:color="auto"/>
              <w:bottom w:val="single" w:sz="4" w:space="0" w:color="auto"/>
              <w:right w:val="single" w:sz="4" w:space="0" w:color="auto"/>
            </w:tcBorders>
            <w:hideMark/>
          </w:tcPr>
          <w:p w14:paraId="450131FB" w14:textId="77777777" w:rsidR="004E5D25" w:rsidRDefault="004E5D25">
            <w:r>
              <w:t>2014</w:t>
            </w:r>
          </w:p>
          <w:p w14:paraId="59E73E07" w14:textId="77777777" w:rsidR="004E5D25" w:rsidRDefault="004E5D25">
            <w:r>
              <w:t>(French single track)</w:t>
            </w:r>
          </w:p>
        </w:tc>
        <w:tc>
          <w:tcPr>
            <w:tcW w:w="485" w:type="dxa"/>
            <w:tcBorders>
              <w:top w:val="single" w:sz="4" w:space="0" w:color="auto"/>
              <w:left w:val="single" w:sz="4" w:space="0" w:color="auto"/>
              <w:bottom w:val="single" w:sz="4" w:space="0" w:color="auto"/>
              <w:right w:val="single" w:sz="4" w:space="0" w:color="auto"/>
            </w:tcBorders>
            <w:shd w:val="clear" w:color="auto" w:fill="EEECE1" w:themeFill="background2"/>
          </w:tcPr>
          <w:p w14:paraId="17437633" w14:textId="77777777" w:rsidR="004E5D25" w:rsidRDefault="004E5D25"/>
        </w:tc>
        <w:tc>
          <w:tcPr>
            <w:tcW w:w="663" w:type="dxa"/>
            <w:tcBorders>
              <w:top w:val="single" w:sz="4" w:space="0" w:color="auto"/>
              <w:left w:val="single" w:sz="4" w:space="0" w:color="auto"/>
              <w:bottom w:val="single" w:sz="4" w:space="0" w:color="auto"/>
              <w:right w:val="single" w:sz="4" w:space="0" w:color="auto"/>
            </w:tcBorders>
            <w:hideMark/>
          </w:tcPr>
          <w:p w14:paraId="121A4C56" w14:textId="77777777" w:rsidR="004E5D25" w:rsidRDefault="004E5D25">
            <w:r>
              <w:t>78</w:t>
            </w:r>
          </w:p>
        </w:tc>
        <w:tc>
          <w:tcPr>
            <w:tcW w:w="663" w:type="dxa"/>
            <w:tcBorders>
              <w:top w:val="single" w:sz="4" w:space="0" w:color="auto"/>
              <w:left w:val="single" w:sz="4" w:space="0" w:color="auto"/>
              <w:bottom w:val="single" w:sz="4" w:space="0" w:color="auto"/>
              <w:right w:val="single" w:sz="4" w:space="0" w:color="auto"/>
            </w:tcBorders>
            <w:hideMark/>
          </w:tcPr>
          <w:p w14:paraId="15EF2F80" w14:textId="77777777" w:rsidR="004E5D25" w:rsidRDefault="004E5D25">
            <w:r>
              <w:t>108</w:t>
            </w:r>
          </w:p>
        </w:tc>
        <w:tc>
          <w:tcPr>
            <w:tcW w:w="663" w:type="dxa"/>
            <w:tcBorders>
              <w:top w:val="single" w:sz="4" w:space="0" w:color="auto"/>
              <w:left w:val="single" w:sz="4" w:space="0" w:color="auto"/>
              <w:bottom w:val="single" w:sz="4" w:space="0" w:color="auto"/>
              <w:right w:val="single" w:sz="4" w:space="0" w:color="auto"/>
            </w:tcBorders>
            <w:hideMark/>
          </w:tcPr>
          <w:p w14:paraId="13FDF414" w14:textId="77777777" w:rsidR="004E5D25" w:rsidRDefault="004E5D25">
            <w:r>
              <w:t>154</w:t>
            </w:r>
          </w:p>
        </w:tc>
        <w:tc>
          <w:tcPr>
            <w:tcW w:w="668" w:type="dxa"/>
            <w:tcBorders>
              <w:top w:val="single" w:sz="4" w:space="0" w:color="auto"/>
              <w:left w:val="single" w:sz="4" w:space="0" w:color="auto"/>
              <w:bottom w:val="single" w:sz="4" w:space="0" w:color="auto"/>
              <w:right w:val="single" w:sz="4" w:space="0" w:color="auto"/>
            </w:tcBorders>
            <w:hideMark/>
          </w:tcPr>
          <w:p w14:paraId="10896E0C" w14:textId="77777777" w:rsidR="004E5D25" w:rsidRDefault="004E5D25">
            <w:r>
              <w:t>162</w:t>
            </w:r>
          </w:p>
        </w:tc>
        <w:tc>
          <w:tcPr>
            <w:tcW w:w="697" w:type="dxa"/>
            <w:tcBorders>
              <w:top w:val="single" w:sz="4" w:space="0" w:color="auto"/>
              <w:left w:val="single" w:sz="4" w:space="0" w:color="auto"/>
              <w:bottom w:val="single" w:sz="4" w:space="0" w:color="auto"/>
              <w:right w:val="single" w:sz="4" w:space="0" w:color="auto"/>
            </w:tcBorders>
            <w:hideMark/>
          </w:tcPr>
          <w:p w14:paraId="034F807B" w14:textId="77777777" w:rsidR="004E5D25" w:rsidRDefault="004E5D25">
            <w:r>
              <w:t>130</w:t>
            </w:r>
          </w:p>
        </w:tc>
        <w:tc>
          <w:tcPr>
            <w:tcW w:w="358" w:type="dxa"/>
            <w:tcBorders>
              <w:top w:val="single" w:sz="4" w:space="0" w:color="auto"/>
              <w:left w:val="single" w:sz="4" w:space="0" w:color="auto"/>
              <w:bottom w:val="single" w:sz="4" w:space="0" w:color="auto"/>
              <w:right w:val="single" w:sz="4" w:space="0" w:color="auto"/>
            </w:tcBorders>
            <w:shd w:val="clear" w:color="auto" w:fill="EEECE1" w:themeFill="background2"/>
          </w:tcPr>
          <w:p w14:paraId="1C00920D" w14:textId="77777777" w:rsidR="004E5D25" w:rsidRDefault="004E5D25"/>
        </w:tc>
        <w:tc>
          <w:tcPr>
            <w:tcW w:w="806" w:type="dxa"/>
            <w:tcBorders>
              <w:top w:val="single" w:sz="4" w:space="0" w:color="auto"/>
              <w:left w:val="single" w:sz="4" w:space="0" w:color="auto"/>
              <w:bottom w:val="single" w:sz="4" w:space="0" w:color="auto"/>
              <w:right w:val="single" w:sz="4" w:space="0" w:color="auto"/>
            </w:tcBorders>
            <w:hideMark/>
          </w:tcPr>
          <w:p w14:paraId="5CEFCC5F" w14:textId="77777777" w:rsidR="004E5D25" w:rsidRDefault="004E5D25">
            <w:r>
              <w:t>44%</w:t>
            </w:r>
          </w:p>
        </w:tc>
        <w:tc>
          <w:tcPr>
            <w:tcW w:w="715" w:type="dxa"/>
            <w:tcBorders>
              <w:top w:val="single" w:sz="4" w:space="0" w:color="auto"/>
              <w:left w:val="single" w:sz="4" w:space="0" w:color="auto"/>
              <w:bottom w:val="single" w:sz="4" w:space="0" w:color="auto"/>
              <w:right w:val="single" w:sz="4" w:space="0" w:color="auto"/>
            </w:tcBorders>
            <w:hideMark/>
          </w:tcPr>
          <w:p w14:paraId="76804C93" w14:textId="77777777" w:rsidR="004E5D25" w:rsidRDefault="004E5D25">
            <w:r>
              <w:t>57%</w:t>
            </w:r>
          </w:p>
        </w:tc>
      </w:tr>
      <w:tr w:rsidR="004E5D25" w14:paraId="04524537" w14:textId="77777777" w:rsidTr="004E5D25">
        <w:tc>
          <w:tcPr>
            <w:tcW w:w="1264" w:type="dxa"/>
            <w:tcBorders>
              <w:top w:val="single" w:sz="4" w:space="0" w:color="auto"/>
              <w:left w:val="single" w:sz="4" w:space="0" w:color="auto"/>
              <w:bottom w:val="single" w:sz="4" w:space="0" w:color="auto"/>
              <w:right w:val="single" w:sz="4" w:space="0" w:color="auto"/>
            </w:tcBorders>
          </w:tcPr>
          <w:p w14:paraId="1D134D46" w14:textId="77777777" w:rsidR="004E5D25" w:rsidRDefault="004E5D25">
            <w:r>
              <w:t>Parkdale PS</w:t>
            </w:r>
          </w:p>
          <w:p w14:paraId="08882E54" w14:textId="77777777" w:rsidR="004E5D25" w:rsidRDefault="004E5D25"/>
        </w:tc>
        <w:tc>
          <w:tcPr>
            <w:tcW w:w="1432" w:type="dxa"/>
            <w:tcBorders>
              <w:top w:val="single" w:sz="4" w:space="0" w:color="auto"/>
              <w:left w:val="single" w:sz="4" w:space="0" w:color="auto"/>
              <w:bottom w:val="single" w:sz="4" w:space="0" w:color="auto"/>
              <w:right w:val="single" w:sz="4" w:space="0" w:color="auto"/>
            </w:tcBorders>
            <w:hideMark/>
          </w:tcPr>
          <w:p w14:paraId="6B661352" w14:textId="77777777" w:rsidR="004E5D25" w:rsidRDefault="004E5D25">
            <w:r>
              <w:t>W7 Parkdale-High Park</w:t>
            </w:r>
          </w:p>
        </w:tc>
        <w:tc>
          <w:tcPr>
            <w:tcW w:w="936" w:type="dxa"/>
            <w:tcBorders>
              <w:top w:val="single" w:sz="4" w:space="0" w:color="auto"/>
              <w:left w:val="single" w:sz="4" w:space="0" w:color="auto"/>
              <w:bottom w:val="single" w:sz="4" w:space="0" w:color="auto"/>
              <w:right w:val="single" w:sz="4" w:space="0" w:color="auto"/>
            </w:tcBorders>
            <w:hideMark/>
          </w:tcPr>
          <w:p w14:paraId="46002394" w14:textId="77777777" w:rsidR="004E5D25" w:rsidRDefault="004E5D25">
            <w:r>
              <w:t>2009</w:t>
            </w:r>
          </w:p>
          <w:p w14:paraId="0E61C919" w14:textId="77777777" w:rsidR="004E5D25" w:rsidRDefault="004E5D25">
            <w:r>
              <w:t>(dual track)</w:t>
            </w:r>
          </w:p>
        </w:tc>
        <w:tc>
          <w:tcPr>
            <w:tcW w:w="485" w:type="dxa"/>
            <w:tcBorders>
              <w:top w:val="single" w:sz="4" w:space="0" w:color="auto"/>
              <w:left w:val="single" w:sz="4" w:space="0" w:color="auto"/>
              <w:bottom w:val="single" w:sz="4" w:space="0" w:color="auto"/>
              <w:right w:val="single" w:sz="4" w:space="0" w:color="auto"/>
            </w:tcBorders>
            <w:shd w:val="clear" w:color="auto" w:fill="EEECE1" w:themeFill="background2"/>
          </w:tcPr>
          <w:p w14:paraId="586C7FE0" w14:textId="77777777" w:rsidR="004E5D25" w:rsidRDefault="004E5D25"/>
        </w:tc>
        <w:tc>
          <w:tcPr>
            <w:tcW w:w="663" w:type="dxa"/>
            <w:tcBorders>
              <w:top w:val="single" w:sz="4" w:space="0" w:color="auto"/>
              <w:left w:val="single" w:sz="4" w:space="0" w:color="auto"/>
              <w:bottom w:val="single" w:sz="4" w:space="0" w:color="auto"/>
              <w:right w:val="single" w:sz="4" w:space="0" w:color="auto"/>
            </w:tcBorders>
            <w:hideMark/>
          </w:tcPr>
          <w:p w14:paraId="55728C44" w14:textId="77777777" w:rsidR="004E5D25" w:rsidRDefault="004E5D25">
            <w:r>
              <w:t>172</w:t>
            </w:r>
          </w:p>
        </w:tc>
        <w:tc>
          <w:tcPr>
            <w:tcW w:w="663" w:type="dxa"/>
            <w:tcBorders>
              <w:top w:val="single" w:sz="4" w:space="0" w:color="auto"/>
              <w:left w:val="single" w:sz="4" w:space="0" w:color="auto"/>
              <w:bottom w:val="single" w:sz="4" w:space="0" w:color="auto"/>
              <w:right w:val="single" w:sz="4" w:space="0" w:color="auto"/>
            </w:tcBorders>
            <w:hideMark/>
          </w:tcPr>
          <w:p w14:paraId="267BE904" w14:textId="77777777" w:rsidR="004E5D25" w:rsidRDefault="004E5D25">
            <w:r>
              <w:t>183</w:t>
            </w:r>
          </w:p>
        </w:tc>
        <w:tc>
          <w:tcPr>
            <w:tcW w:w="663" w:type="dxa"/>
            <w:tcBorders>
              <w:top w:val="single" w:sz="4" w:space="0" w:color="auto"/>
              <w:left w:val="single" w:sz="4" w:space="0" w:color="auto"/>
              <w:bottom w:val="single" w:sz="4" w:space="0" w:color="auto"/>
              <w:right w:val="single" w:sz="4" w:space="0" w:color="auto"/>
            </w:tcBorders>
            <w:hideMark/>
          </w:tcPr>
          <w:p w14:paraId="7AA70FE6" w14:textId="77777777" w:rsidR="004E5D25" w:rsidRDefault="004E5D25">
            <w:r>
              <w:t>118</w:t>
            </w:r>
          </w:p>
        </w:tc>
        <w:tc>
          <w:tcPr>
            <w:tcW w:w="668" w:type="dxa"/>
            <w:tcBorders>
              <w:top w:val="single" w:sz="4" w:space="0" w:color="auto"/>
              <w:left w:val="single" w:sz="4" w:space="0" w:color="auto"/>
              <w:bottom w:val="single" w:sz="4" w:space="0" w:color="auto"/>
              <w:right w:val="single" w:sz="4" w:space="0" w:color="auto"/>
            </w:tcBorders>
            <w:hideMark/>
          </w:tcPr>
          <w:p w14:paraId="7619D566" w14:textId="77777777" w:rsidR="004E5D25" w:rsidRDefault="004E5D25">
            <w:r>
              <w:t>99</w:t>
            </w:r>
          </w:p>
        </w:tc>
        <w:tc>
          <w:tcPr>
            <w:tcW w:w="697" w:type="dxa"/>
            <w:tcBorders>
              <w:top w:val="single" w:sz="4" w:space="0" w:color="auto"/>
              <w:left w:val="single" w:sz="4" w:space="0" w:color="auto"/>
              <w:bottom w:val="single" w:sz="4" w:space="0" w:color="auto"/>
              <w:right w:val="single" w:sz="4" w:space="0" w:color="auto"/>
            </w:tcBorders>
            <w:hideMark/>
          </w:tcPr>
          <w:p w14:paraId="581CAB28" w14:textId="77777777" w:rsidR="004E5D25" w:rsidRDefault="004E5D25">
            <w:r>
              <w:t>86</w:t>
            </w:r>
          </w:p>
        </w:tc>
        <w:tc>
          <w:tcPr>
            <w:tcW w:w="358" w:type="dxa"/>
            <w:tcBorders>
              <w:top w:val="single" w:sz="4" w:space="0" w:color="auto"/>
              <w:left w:val="single" w:sz="4" w:space="0" w:color="auto"/>
              <w:bottom w:val="single" w:sz="4" w:space="0" w:color="auto"/>
              <w:right w:val="single" w:sz="4" w:space="0" w:color="auto"/>
            </w:tcBorders>
            <w:shd w:val="clear" w:color="auto" w:fill="EEECE1" w:themeFill="background2"/>
          </w:tcPr>
          <w:p w14:paraId="5EDEF62B" w14:textId="77777777" w:rsidR="004E5D25" w:rsidRDefault="004E5D25"/>
        </w:tc>
        <w:tc>
          <w:tcPr>
            <w:tcW w:w="806" w:type="dxa"/>
            <w:tcBorders>
              <w:top w:val="single" w:sz="4" w:space="0" w:color="auto"/>
              <w:left w:val="single" w:sz="4" w:space="0" w:color="auto"/>
              <w:bottom w:val="single" w:sz="4" w:space="0" w:color="auto"/>
              <w:right w:val="single" w:sz="4" w:space="0" w:color="auto"/>
            </w:tcBorders>
            <w:hideMark/>
          </w:tcPr>
          <w:p w14:paraId="2A96CB41" w14:textId="77777777" w:rsidR="004E5D25" w:rsidRDefault="004E5D25">
            <w:r>
              <w:t>65%</w:t>
            </w:r>
          </w:p>
        </w:tc>
        <w:tc>
          <w:tcPr>
            <w:tcW w:w="715" w:type="dxa"/>
            <w:tcBorders>
              <w:top w:val="single" w:sz="4" w:space="0" w:color="auto"/>
              <w:left w:val="single" w:sz="4" w:space="0" w:color="auto"/>
              <w:bottom w:val="single" w:sz="4" w:space="0" w:color="auto"/>
              <w:right w:val="single" w:sz="4" w:space="0" w:color="auto"/>
            </w:tcBorders>
            <w:hideMark/>
          </w:tcPr>
          <w:p w14:paraId="76004B36" w14:textId="77777777" w:rsidR="004E5D25" w:rsidRDefault="004E5D25">
            <w:r>
              <w:t>84%</w:t>
            </w:r>
          </w:p>
        </w:tc>
      </w:tr>
      <w:tr w:rsidR="004E5D25" w14:paraId="5586B9B3" w14:textId="77777777" w:rsidTr="004E5D25">
        <w:tc>
          <w:tcPr>
            <w:tcW w:w="1264" w:type="dxa"/>
            <w:tcBorders>
              <w:top w:val="single" w:sz="4" w:space="0" w:color="auto"/>
              <w:left w:val="single" w:sz="4" w:space="0" w:color="auto"/>
              <w:bottom w:val="single" w:sz="4" w:space="0" w:color="auto"/>
              <w:right w:val="single" w:sz="4" w:space="0" w:color="auto"/>
            </w:tcBorders>
          </w:tcPr>
          <w:p w14:paraId="6336065A" w14:textId="77777777" w:rsidR="004E5D25" w:rsidRDefault="004E5D25">
            <w:r>
              <w:lastRenderedPageBreak/>
              <w:t>Dr Rita Cox- Kina Minagok</w:t>
            </w:r>
          </w:p>
          <w:p w14:paraId="2A9E8D74" w14:textId="77777777" w:rsidR="004E5D25" w:rsidRDefault="004E5D25"/>
        </w:tc>
        <w:tc>
          <w:tcPr>
            <w:tcW w:w="1432" w:type="dxa"/>
            <w:tcBorders>
              <w:top w:val="single" w:sz="4" w:space="0" w:color="auto"/>
              <w:left w:val="single" w:sz="4" w:space="0" w:color="auto"/>
              <w:bottom w:val="single" w:sz="4" w:space="0" w:color="auto"/>
              <w:right w:val="single" w:sz="4" w:space="0" w:color="auto"/>
            </w:tcBorders>
            <w:hideMark/>
          </w:tcPr>
          <w:p w14:paraId="1FA55E0E" w14:textId="77777777" w:rsidR="004E5D25" w:rsidRDefault="004E5D25">
            <w:r>
              <w:t>W7 Parkdale-High Park</w:t>
            </w:r>
          </w:p>
        </w:tc>
        <w:tc>
          <w:tcPr>
            <w:tcW w:w="936" w:type="dxa"/>
            <w:tcBorders>
              <w:top w:val="single" w:sz="4" w:space="0" w:color="auto"/>
              <w:left w:val="single" w:sz="4" w:space="0" w:color="auto"/>
              <w:bottom w:val="single" w:sz="4" w:space="0" w:color="auto"/>
              <w:right w:val="single" w:sz="4" w:space="0" w:color="auto"/>
            </w:tcBorders>
            <w:hideMark/>
          </w:tcPr>
          <w:p w14:paraId="2615FA6E" w14:textId="77777777" w:rsidR="004E5D25" w:rsidRDefault="004E5D25">
            <w:r>
              <w:t>English single track</w:t>
            </w:r>
          </w:p>
        </w:tc>
        <w:tc>
          <w:tcPr>
            <w:tcW w:w="485" w:type="dxa"/>
            <w:tcBorders>
              <w:top w:val="single" w:sz="4" w:space="0" w:color="auto"/>
              <w:left w:val="single" w:sz="4" w:space="0" w:color="auto"/>
              <w:bottom w:val="single" w:sz="4" w:space="0" w:color="auto"/>
              <w:right w:val="single" w:sz="4" w:space="0" w:color="auto"/>
            </w:tcBorders>
            <w:shd w:val="clear" w:color="auto" w:fill="EEECE1" w:themeFill="background2"/>
          </w:tcPr>
          <w:p w14:paraId="34352268" w14:textId="77777777" w:rsidR="004E5D25" w:rsidRDefault="004E5D25"/>
        </w:tc>
        <w:tc>
          <w:tcPr>
            <w:tcW w:w="663" w:type="dxa"/>
            <w:tcBorders>
              <w:top w:val="single" w:sz="4" w:space="0" w:color="auto"/>
              <w:left w:val="single" w:sz="4" w:space="0" w:color="auto"/>
              <w:bottom w:val="single" w:sz="4" w:space="0" w:color="auto"/>
              <w:right w:val="single" w:sz="4" w:space="0" w:color="auto"/>
            </w:tcBorders>
            <w:hideMark/>
          </w:tcPr>
          <w:p w14:paraId="7575BE74" w14:textId="77777777" w:rsidR="004E5D25" w:rsidRDefault="004E5D25">
            <w:r>
              <w:t>204</w:t>
            </w:r>
          </w:p>
        </w:tc>
        <w:tc>
          <w:tcPr>
            <w:tcW w:w="663" w:type="dxa"/>
            <w:tcBorders>
              <w:top w:val="single" w:sz="4" w:space="0" w:color="auto"/>
              <w:left w:val="single" w:sz="4" w:space="0" w:color="auto"/>
              <w:bottom w:val="single" w:sz="4" w:space="0" w:color="auto"/>
              <w:right w:val="single" w:sz="4" w:space="0" w:color="auto"/>
            </w:tcBorders>
            <w:hideMark/>
          </w:tcPr>
          <w:p w14:paraId="41185DB4" w14:textId="77777777" w:rsidR="004E5D25" w:rsidRDefault="004E5D25">
            <w:r>
              <w:t>200</w:t>
            </w:r>
          </w:p>
        </w:tc>
        <w:tc>
          <w:tcPr>
            <w:tcW w:w="663" w:type="dxa"/>
            <w:tcBorders>
              <w:top w:val="single" w:sz="4" w:space="0" w:color="auto"/>
              <w:left w:val="single" w:sz="4" w:space="0" w:color="auto"/>
              <w:bottom w:val="single" w:sz="4" w:space="0" w:color="auto"/>
              <w:right w:val="single" w:sz="4" w:space="0" w:color="auto"/>
            </w:tcBorders>
            <w:hideMark/>
          </w:tcPr>
          <w:p w14:paraId="5ECF9C14" w14:textId="77777777" w:rsidR="004E5D25" w:rsidRDefault="004E5D25">
            <w:r>
              <w:t>151</w:t>
            </w:r>
          </w:p>
        </w:tc>
        <w:tc>
          <w:tcPr>
            <w:tcW w:w="668" w:type="dxa"/>
            <w:tcBorders>
              <w:top w:val="single" w:sz="4" w:space="0" w:color="auto"/>
              <w:left w:val="single" w:sz="4" w:space="0" w:color="auto"/>
              <w:bottom w:val="single" w:sz="4" w:space="0" w:color="auto"/>
              <w:right w:val="single" w:sz="4" w:space="0" w:color="auto"/>
            </w:tcBorders>
            <w:hideMark/>
          </w:tcPr>
          <w:p w14:paraId="5DA3955D" w14:textId="77777777" w:rsidR="004E5D25" w:rsidRDefault="004E5D25">
            <w:r>
              <w:t>125</w:t>
            </w:r>
          </w:p>
        </w:tc>
        <w:tc>
          <w:tcPr>
            <w:tcW w:w="697" w:type="dxa"/>
            <w:tcBorders>
              <w:top w:val="single" w:sz="4" w:space="0" w:color="auto"/>
              <w:left w:val="single" w:sz="4" w:space="0" w:color="auto"/>
              <w:bottom w:val="single" w:sz="4" w:space="0" w:color="auto"/>
              <w:right w:val="single" w:sz="4" w:space="0" w:color="auto"/>
            </w:tcBorders>
            <w:hideMark/>
          </w:tcPr>
          <w:p w14:paraId="67A5F26A" w14:textId="77777777" w:rsidR="004E5D25" w:rsidRDefault="004E5D25">
            <w:r>
              <w:t>64</w:t>
            </w:r>
          </w:p>
        </w:tc>
        <w:tc>
          <w:tcPr>
            <w:tcW w:w="358" w:type="dxa"/>
            <w:tcBorders>
              <w:top w:val="single" w:sz="4" w:space="0" w:color="auto"/>
              <w:left w:val="single" w:sz="4" w:space="0" w:color="auto"/>
              <w:bottom w:val="single" w:sz="4" w:space="0" w:color="auto"/>
              <w:right w:val="single" w:sz="4" w:space="0" w:color="auto"/>
            </w:tcBorders>
            <w:shd w:val="clear" w:color="auto" w:fill="EEECE1" w:themeFill="background2"/>
          </w:tcPr>
          <w:p w14:paraId="6451C058" w14:textId="77777777" w:rsidR="004E5D25" w:rsidRDefault="004E5D25"/>
        </w:tc>
        <w:tc>
          <w:tcPr>
            <w:tcW w:w="806" w:type="dxa"/>
            <w:tcBorders>
              <w:top w:val="single" w:sz="4" w:space="0" w:color="auto"/>
              <w:left w:val="single" w:sz="4" w:space="0" w:color="auto"/>
              <w:bottom w:val="single" w:sz="4" w:space="0" w:color="auto"/>
              <w:right w:val="single" w:sz="4" w:space="0" w:color="auto"/>
            </w:tcBorders>
            <w:hideMark/>
          </w:tcPr>
          <w:p w14:paraId="2F4CE921" w14:textId="77777777" w:rsidR="004E5D25" w:rsidRDefault="004E5D25">
            <w:r>
              <w:t>73%</w:t>
            </w:r>
          </w:p>
        </w:tc>
        <w:tc>
          <w:tcPr>
            <w:tcW w:w="715" w:type="dxa"/>
            <w:tcBorders>
              <w:top w:val="single" w:sz="4" w:space="0" w:color="auto"/>
              <w:left w:val="single" w:sz="4" w:space="0" w:color="auto"/>
              <w:bottom w:val="single" w:sz="4" w:space="0" w:color="auto"/>
              <w:right w:val="single" w:sz="4" w:space="0" w:color="auto"/>
            </w:tcBorders>
            <w:hideMark/>
          </w:tcPr>
          <w:p w14:paraId="349865D0" w14:textId="77777777" w:rsidR="004E5D25" w:rsidRDefault="004E5D25">
            <w:r>
              <w:t>70%</w:t>
            </w:r>
          </w:p>
        </w:tc>
      </w:tr>
      <w:tr w:rsidR="004E5D25" w14:paraId="396256DE" w14:textId="77777777" w:rsidTr="004E5D25">
        <w:tc>
          <w:tcPr>
            <w:tcW w:w="1264" w:type="dxa"/>
            <w:tcBorders>
              <w:top w:val="single" w:sz="4" w:space="0" w:color="auto"/>
              <w:left w:val="single" w:sz="4" w:space="0" w:color="auto"/>
              <w:bottom w:val="single" w:sz="4" w:space="0" w:color="auto"/>
              <w:right w:val="single" w:sz="4" w:space="0" w:color="auto"/>
            </w:tcBorders>
            <w:hideMark/>
          </w:tcPr>
          <w:p w14:paraId="2C8ED967" w14:textId="77777777" w:rsidR="004E5D25" w:rsidRDefault="004E5D25">
            <w:r>
              <w:t>Blake St</w:t>
            </w:r>
          </w:p>
        </w:tc>
        <w:tc>
          <w:tcPr>
            <w:tcW w:w="1432" w:type="dxa"/>
            <w:tcBorders>
              <w:top w:val="single" w:sz="4" w:space="0" w:color="auto"/>
              <w:left w:val="single" w:sz="4" w:space="0" w:color="auto"/>
              <w:bottom w:val="single" w:sz="4" w:space="0" w:color="auto"/>
              <w:right w:val="single" w:sz="4" w:space="0" w:color="auto"/>
            </w:tcBorders>
            <w:hideMark/>
          </w:tcPr>
          <w:p w14:paraId="7F3701EE" w14:textId="77777777" w:rsidR="004E5D25" w:rsidRDefault="004E5D25">
            <w:r>
              <w:t>W15 Broadview-Danforth</w:t>
            </w:r>
          </w:p>
        </w:tc>
        <w:tc>
          <w:tcPr>
            <w:tcW w:w="936" w:type="dxa"/>
            <w:tcBorders>
              <w:top w:val="single" w:sz="4" w:space="0" w:color="auto"/>
              <w:left w:val="single" w:sz="4" w:space="0" w:color="auto"/>
              <w:bottom w:val="single" w:sz="4" w:space="0" w:color="auto"/>
              <w:right w:val="single" w:sz="4" w:space="0" w:color="auto"/>
            </w:tcBorders>
            <w:hideMark/>
          </w:tcPr>
          <w:p w14:paraId="7C520C88" w14:textId="77777777" w:rsidR="004E5D25" w:rsidRDefault="004E5D25">
            <w:r>
              <w:t>2014 (Dual track)</w:t>
            </w:r>
          </w:p>
        </w:tc>
        <w:tc>
          <w:tcPr>
            <w:tcW w:w="485" w:type="dxa"/>
            <w:tcBorders>
              <w:top w:val="single" w:sz="4" w:space="0" w:color="auto"/>
              <w:left w:val="single" w:sz="4" w:space="0" w:color="auto"/>
              <w:bottom w:val="single" w:sz="4" w:space="0" w:color="auto"/>
              <w:right w:val="single" w:sz="4" w:space="0" w:color="auto"/>
            </w:tcBorders>
            <w:shd w:val="clear" w:color="auto" w:fill="EEECE1" w:themeFill="background2"/>
          </w:tcPr>
          <w:p w14:paraId="72B7AE05" w14:textId="77777777" w:rsidR="004E5D25" w:rsidRDefault="004E5D25"/>
        </w:tc>
        <w:tc>
          <w:tcPr>
            <w:tcW w:w="663" w:type="dxa"/>
            <w:tcBorders>
              <w:top w:val="single" w:sz="4" w:space="0" w:color="auto"/>
              <w:left w:val="single" w:sz="4" w:space="0" w:color="auto"/>
              <w:bottom w:val="single" w:sz="4" w:space="0" w:color="auto"/>
              <w:right w:val="single" w:sz="4" w:space="0" w:color="auto"/>
            </w:tcBorders>
            <w:hideMark/>
          </w:tcPr>
          <w:p w14:paraId="0B9BF652" w14:textId="77777777" w:rsidR="004E5D25" w:rsidRDefault="004E5D25">
            <w:r>
              <w:t>223</w:t>
            </w:r>
          </w:p>
        </w:tc>
        <w:tc>
          <w:tcPr>
            <w:tcW w:w="663" w:type="dxa"/>
            <w:tcBorders>
              <w:top w:val="single" w:sz="4" w:space="0" w:color="auto"/>
              <w:left w:val="single" w:sz="4" w:space="0" w:color="auto"/>
              <w:bottom w:val="single" w:sz="4" w:space="0" w:color="auto"/>
              <w:right w:val="single" w:sz="4" w:space="0" w:color="auto"/>
            </w:tcBorders>
            <w:hideMark/>
          </w:tcPr>
          <w:p w14:paraId="79456F0B" w14:textId="77777777" w:rsidR="004E5D25" w:rsidRDefault="004E5D25">
            <w:r>
              <w:t>147</w:t>
            </w:r>
          </w:p>
        </w:tc>
        <w:tc>
          <w:tcPr>
            <w:tcW w:w="663" w:type="dxa"/>
            <w:tcBorders>
              <w:top w:val="single" w:sz="4" w:space="0" w:color="auto"/>
              <w:left w:val="single" w:sz="4" w:space="0" w:color="auto"/>
              <w:bottom w:val="single" w:sz="4" w:space="0" w:color="auto"/>
              <w:right w:val="single" w:sz="4" w:space="0" w:color="auto"/>
            </w:tcBorders>
            <w:hideMark/>
          </w:tcPr>
          <w:p w14:paraId="77C1EF3B" w14:textId="77777777" w:rsidR="004E5D25" w:rsidRDefault="004E5D25">
            <w:r>
              <w:t>96</w:t>
            </w:r>
          </w:p>
        </w:tc>
        <w:tc>
          <w:tcPr>
            <w:tcW w:w="668" w:type="dxa"/>
            <w:tcBorders>
              <w:top w:val="single" w:sz="4" w:space="0" w:color="auto"/>
              <w:left w:val="single" w:sz="4" w:space="0" w:color="auto"/>
              <w:bottom w:val="single" w:sz="4" w:space="0" w:color="auto"/>
              <w:right w:val="single" w:sz="4" w:space="0" w:color="auto"/>
            </w:tcBorders>
            <w:hideMark/>
          </w:tcPr>
          <w:p w14:paraId="66039C8C" w14:textId="77777777" w:rsidR="004E5D25" w:rsidRDefault="004E5D25">
            <w:r>
              <w:t>39</w:t>
            </w:r>
          </w:p>
        </w:tc>
        <w:tc>
          <w:tcPr>
            <w:tcW w:w="697" w:type="dxa"/>
            <w:tcBorders>
              <w:top w:val="single" w:sz="4" w:space="0" w:color="auto"/>
              <w:left w:val="single" w:sz="4" w:space="0" w:color="auto"/>
              <w:bottom w:val="single" w:sz="4" w:space="0" w:color="auto"/>
              <w:right w:val="single" w:sz="4" w:space="0" w:color="auto"/>
            </w:tcBorders>
            <w:hideMark/>
          </w:tcPr>
          <w:p w14:paraId="33999947" w14:textId="77777777" w:rsidR="004E5D25" w:rsidRDefault="004E5D25">
            <w:r>
              <w:t>27</w:t>
            </w:r>
          </w:p>
        </w:tc>
        <w:tc>
          <w:tcPr>
            <w:tcW w:w="358" w:type="dxa"/>
            <w:tcBorders>
              <w:top w:val="single" w:sz="4" w:space="0" w:color="auto"/>
              <w:left w:val="single" w:sz="4" w:space="0" w:color="auto"/>
              <w:bottom w:val="single" w:sz="4" w:space="0" w:color="auto"/>
              <w:right w:val="single" w:sz="4" w:space="0" w:color="auto"/>
            </w:tcBorders>
            <w:shd w:val="clear" w:color="auto" w:fill="EEECE1" w:themeFill="background2"/>
          </w:tcPr>
          <w:p w14:paraId="2699FA48" w14:textId="77777777" w:rsidR="004E5D25" w:rsidRDefault="004E5D25"/>
        </w:tc>
        <w:tc>
          <w:tcPr>
            <w:tcW w:w="806" w:type="dxa"/>
            <w:tcBorders>
              <w:top w:val="single" w:sz="4" w:space="0" w:color="auto"/>
              <w:left w:val="single" w:sz="4" w:space="0" w:color="auto"/>
              <w:bottom w:val="single" w:sz="4" w:space="0" w:color="auto"/>
              <w:right w:val="single" w:sz="4" w:space="0" w:color="auto"/>
            </w:tcBorders>
            <w:hideMark/>
          </w:tcPr>
          <w:p w14:paraId="7C236C8D" w14:textId="77777777" w:rsidR="004E5D25" w:rsidRDefault="004E5D25">
            <w:r>
              <w:t>66%</w:t>
            </w:r>
          </w:p>
        </w:tc>
        <w:tc>
          <w:tcPr>
            <w:tcW w:w="715" w:type="dxa"/>
            <w:tcBorders>
              <w:top w:val="single" w:sz="4" w:space="0" w:color="auto"/>
              <w:left w:val="single" w:sz="4" w:space="0" w:color="auto"/>
              <w:bottom w:val="single" w:sz="4" w:space="0" w:color="auto"/>
              <w:right w:val="single" w:sz="4" w:space="0" w:color="auto"/>
            </w:tcBorders>
            <w:hideMark/>
          </w:tcPr>
          <w:p w14:paraId="7608599A" w14:textId="77777777" w:rsidR="004E5D25" w:rsidRDefault="004E5D25">
            <w:r>
              <w:t>37%</w:t>
            </w:r>
          </w:p>
        </w:tc>
      </w:tr>
      <w:tr w:rsidR="004E5D25" w14:paraId="34F96F36" w14:textId="77777777" w:rsidTr="004E5D25">
        <w:tc>
          <w:tcPr>
            <w:tcW w:w="1264" w:type="dxa"/>
            <w:tcBorders>
              <w:top w:val="single" w:sz="4" w:space="0" w:color="auto"/>
              <w:left w:val="single" w:sz="4" w:space="0" w:color="auto"/>
              <w:bottom w:val="single" w:sz="4" w:space="0" w:color="auto"/>
              <w:right w:val="single" w:sz="4" w:space="0" w:color="auto"/>
            </w:tcBorders>
            <w:hideMark/>
          </w:tcPr>
          <w:p w14:paraId="0CAB481C" w14:textId="77777777" w:rsidR="004E5D25" w:rsidRDefault="004E5D25">
            <w:r>
              <w:t>Bruce</w:t>
            </w:r>
          </w:p>
        </w:tc>
        <w:tc>
          <w:tcPr>
            <w:tcW w:w="1432" w:type="dxa"/>
            <w:tcBorders>
              <w:top w:val="single" w:sz="4" w:space="0" w:color="auto"/>
              <w:left w:val="single" w:sz="4" w:space="0" w:color="auto"/>
              <w:bottom w:val="single" w:sz="4" w:space="0" w:color="auto"/>
              <w:right w:val="single" w:sz="4" w:space="0" w:color="auto"/>
            </w:tcBorders>
            <w:hideMark/>
          </w:tcPr>
          <w:p w14:paraId="21FA1C43" w14:textId="77777777" w:rsidR="004E5D25" w:rsidRDefault="004E5D25">
            <w:r>
              <w:t>W15 Broadview-Danforth</w:t>
            </w:r>
          </w:p>
        </w:tc>
        <w:tc>
          <w:tcPr>
            <w:tcW w:w="936" w:type="dxa"/>
            <w:tcBorders>
              <w:top w:val="single" w:sz="4" w:space="0" w:color="auto"/>
              <w:left w:val="single" w:sz="4" w:space="0" w:color="auto"/>
              <w:bottom w:val="single" w:sz="4" w:space="0" w:color="auto"/>
              <w:right w:val="single" w:sz="4" w:space="0" w:color="auto"/>
            </w:tcBorders>
            <w:hideMark/>
          </w:tcPr>
          <w:p w14:paraId="131AF1C3" w14:textId="77777777" w:rsidR="004E5D25" w:rsidRDefault="004E5D25">
            <w:r>
              <w:t>English single track</w:t>
            </w:r>
          </w:p>
        </w:tc>
        <w:tc>
          <w:tcPr>
            <w:tcW w:w="485" w:type="dxa"/>
            <w:tcBorders>
              <w:top w:val="single" w:sz="4" w:space="0" w:color="auto"/>
              <w:left w:val="single" w:sz="4" w:space="0" w:color="auto"/>
              <w:bottom w:val="single" w:sz="4" w:space="0" w:color="auto"/>
              <w:right w:val="single" w:sz="4" w:space="0" w:color="auto"/>
            </w:tcBorders>
            <w:shd w:val="clear" w:color="auto" w:fill="EEECE1" w:themeFill="background2"/>
          </w:tcPr>
          <w:p w14:paraId="0BB97AE5" w14:textId="77777777" w:rsidR="004E5D25" w:rsidRDefault="004E5D25"/>
        </w:tc>
        <w:tc>
          <w:tcPr>
            <w:tcW w:w="663" w:type="dxa"/>
            <w:tcBorders>
              <w:top w:val="single" w:sz="4" w:space="0" w:color="auto"/>
              <w:left w:val="single" w:sz="4" w:space="0" w:color="auto"/>
              <w:bottom w:val="single" w:sz="4" w:space="0" w:color="auto"/>
              <w:right w:val="single" w:sz="4" w:space="0" w:color="auto"/>
            </w:tcBorders>
            <w:hideMark/>
          </w:tcPr>
          <w:p w14:paraId="65AC4761" w14:textId="77777777" w:rsidR="004E5D25" w:rsidRDefault="004E5D25">
            <w:r>
              <w:t>258</w:t>
            </w:r>
          </w:p>
        </w:tc>
        <w:tc>
          <w:tcPr>
            <w:tcW w:w="663" w:type="dxa"/>
            <w:tcBorders>
              <w:top w:val="single" w:sz="4" w:space="0" w:color="auto"/>
              <w:left w:val="single" w:sz="4" w:space="0" w:color="auto"/>
              <w:bottom w:val="single" w:sz="4" w:space="0" w:color="auto"/>
              <w:right w:val="single" w:sz="4" w:space="0" w:color="auto"/>
            </w:tcBorders>
            <w:hideMark/>
          </w:tcPr>
          <w:p w14:paraId="1D3B4A2E" w14:textId="77777777" w:rsidR="004E5D25" w:rsidRDefault="004E5D25">
            <w:r>
              <w:t>207</w:t>
            </w:r>
          </w:p>
        </w:tc>
        <w:tc>
          <w:tcPr>
            <w:tcW w:w="663" w:type="dxa"/>
            <w:tcBorders>
              <w:top w:val="single" w:sz="4" w:space="0" w:color="auto"/>
              <w:left w:val="single" w:sz="4" w:space="0" w:color="auto"/>
              <w:bottom w:val="single" w:sz="4" w:space="0" w:color="auto"/>
              <w:right w:val="single" w:sz="4" w:space="0" w:color="auto"/>
            </w:tcBorders>
            <w:hideMark/>
          </w:tcPr>
          <w:p w14:paraId="06997672" w14:textId="77777777" w:rsidR="004E5D25" w:rsidRDefault="004E5D25">
            <w:r>
              <w:t>170</w:t>
            </w:r>
          </w:p>
        </w:tc>
        <w:tc>
          <w:tcPr>
            <w:tcW w:w="668" w:type="dxa"/>
            <w:tcBorders>
              <w:top w:val="single" w:sz="4" w:space="0" w:color="auto"/>
              <w:left w:val="single" w:sz="4" w:space="0" w:color="auto"/>
              <w:bottom w:val="single" w:sz="4" w:space="0" w:color="auto"/>
              <w:right w:val="single" w:sz="4" w:space="0" w:color="auto"/>
            </w:tcBorders>
            <w:hideMark/>
          </w:tcPr>
          <w:p w14:paraId="48619B93" w14:textId="77777777" w:rsidR="004E5D25" w:rsidRDefault="004E5D25">
            <w:r>
              <w:t>172</w:t>
            </w:r>
          </w:p>
        </w:tc>
        <w:tc>
          <w:tcPr>
            <w:tcW w:w="697" w:type="dxa"/>
            <w:tcBorders>
              <w:top w:val="single" w:sz="4" w:space="0" w:color="auto"/>
              <w:left w:val="single" w:sz="4" w:space="0" w:color="auto"/>
              <w:bottom w:val="single" w:sz="4" w:space="0" w:color="auto"/>
              <w:right w:val="single" w:sz="4" w:space="0" w:color="auto"/>
            </w:tcBorders>
            <w:hideMark/>
          </w:tcPr>
          <w:p w14:paraId="639A3E07" w14:textId="77777777" w:rsidR="004E5D25" w:rsidRDefault="004E5D25">
            <w:r>
              <w:t>84</w:t>
            </w:r>
          </w:p>
        </w:tc>
        <w:tc>
          <w:tcPr>
            <w:tcW w:w="358" w:type="dxa"/>
            <w:tcBorders>
              <w:top w:val="single" w:sz="4" w:space="0" w:color="auto"/>
              <w:left w:val="single" w:sz="4" w:space="0" w:color="auto"/>
              <w:bottom w:val="single" w:sz="4" w:space="0" w:color="auto"/>
              <w:right w:val="single" w:sz="4" w:space="0" w:color="auto"/>
            </w:tcBorders>
            <w:shd w:val="clear" w:color="auto" w:fill="EEECE1" w:themeFill="background2"/>
          </w:tcPr>
          <w:p w14:paraId="2F4A7467" w14:textId="77777777" w:rsidR="004E5D25" w:rsidRDefault="004E5D25"/>
        </w:tc>
        <w:tc>
          <w:tcPr>
            <w:tcW w:w="806" w:type="dxa"/>
            <w:tcBorders>
              <w:top w:val="single" w:sz="4" w:space="0" w:color="auto"/>
              <w:left w:val="single" w:sz="4" w:space="0" w:color="auto"/>
              <w:bottom w:val="single" w:sz="4" w:space="0" w:color="auto"/>
              <w:right w:val="single" w:sz="4" w:space="0" w:color="auto"/>
            </w:tcBorders>
            <w:hideMark/>
          </w:tcPr>
          <w:p w14:paraId="56604F6F" w14:textId="77777777" w:rsidR="004E5D25" w:rsidRDefault="004E5D25">
            <w:r>
              <w:t>84%</w:t>
            </w:r>
          </w:p>
        </w:tc>
        <w:tc>
          <w:tcPr>
            <w:tcW w:w="715" w:type="dxa"/>
            <w:tcBorders>
              <w:top w:val="single" w:sz="4" w:space="0" w:color="auto"/>
              <w:left w:val="single" w:sz="4" w:space="0" w:color="auto"/>
              <w:bottom w:val="single" w:sz="4" w:space="0" w:color="auto"/>
              <w:right w:val="single" w:sz="4" w:space="0" w:color="auto"/>
            </w:tcBorders>
            <w:hideMark/>
          </w:tcPr>
          <w:p w14:paraId="47D4421F" w14:textId="77777777" w:rsidR="004E5D25" w:rsidRDefault="004E5D25">
            <w:r>
              <w:t>36%</w:t>
            </w:r>
          </w:p>
        </w:tc>
      </w:tr>
      <w:tr w:rsidR="004E5D25" w14:paraId="1B8F61BF" w14:textId="77777777" w:rsidTr="004E5D25">
        <w:tc>
          <w:tcPr>
            <w:tcW w:w="1264" w:type="dxa"/>
            <w:tcBorders>
              <w:top w:val="single" w:sz="4" w:space="0" w:color="auto"/>
              <w:left w:val="single" w:sz="4" w:space="0" w:color="auto"/>
              <w:bottom w:val="single" w:sz="4" w:space="0" w:color="auto"/>
              <w:right w:val="single" w:sz="4" w:space="0" w:color="auto"/>
            </w:tcBorders>
            <w:hideMark/>
          </w:tcPr>
          <w:p w14:paraId="602C3D30" w14:textId="77777777" w:rsidR="004E5D25" w:rsidRDefault="004E5D25">
            <w:r>
              <w:t>Chester</w:t>
            </w:r>
          </w:p>
        </w:tc>
        <w:tc>
          <w:tcPr>
            <w:tcW w:w="1432" w:type="dxa"/>
            <w:tcBorders>
              <w:top w:val="single" w:sz="4" w:space="0" w:color="auto"/>
              <w:left w:val="single" w:sz="4" w:space="0" w:color="auto"/>
              <w:bottom w:val="single" w:sz="4" w:space="0" w:color="auto"/>
              <w:right w:val="single" w:sz="4" w:space="0" w:color="auto"/>
            </w:tcBorders>
            <w:hideMark/>
          </w:tcPr>
          <w:p w14:paraId="1C343AB9" w14:textId="77777777" w:rsidR="004E5D25" w:rsidRDefault="004E5D25">
            <w:r>
              <w:t>W15 Broadview-Danforth</w:t>
            </w:r>
          </w:p>
        </w:tc>
        <w:tc>
          <w:tcPr>
            <w:tcW w:w="936" w:type="dxa"/>
            <w:tcBorders>
              <w:top w:val="single" w:sz="4" w:space="0" w:color="auto"/>
              <w:left w:val="single" w:sz="4" w:space="0" w:color="auto"/>
              <w:bottom w:val="single" w:sz="4" w:space="0" w:color="auto"/>
              <w:right w:val="single" w:sz="4" w:space="0" w:color="auto"/>
            </w:tcBorders>
            <w:hideMark/>
          </w:tcPr>
          <w:p w14:paraId="1ABD8E58" w14:textId="77777777" w:rsidR="004E5D25" w:rsidRDefault="004E5D25">
            <w:r>
              <w:t>English single track</w:t>
            </w:r>
          </w:p>
        </w:tc>
        <w:tc>
          <w:tcPr>
            <w:tcW w:w="485" w:type="dxa"/>
            <w:tcBorders>
              <w:top w:val="single" w:sz="4" w:space="0" w:color="auto"/>
              <w:left w:val="single" w:sz="4" w:space="0" w:color="auto"/>
              <w:bottom w:val="single" w:sz="4" w:space="0" w:color="auto"/>
              <w:right w:val="single" w:sz="4" w:space="0" w:color="auto"/>
            </w:tcBorders>
            <w:shd w:val="clear" w:color="auto" w:fill="EEECE1" w:themeFill="background2"/>
          </w:tcPr>
          <w:p w14:paraId="750A9637" w14:textId="77777777" w:rsidR="004E5D25" w:rsidRDefault="004E5D25"/>
        </w:tc>
        <w:tc>
          <w:tcPr>
            <w:tcW w:w="663" w:type="dxa"/>
            <w:tcBorders>
              <w:top w:val="single" w:sz="4" w:space="0" w:color="auto"/>
              <w:left w:val="single" w:sz="4" w:space="0" w:color="auto"/>
              <w:bottom w:val="single" w:sz="4" w:space="0" w:color="auto"/>
              <w:right w:val="single" w:sz="4" w:space="0" w:color="auto"/>
            </w:tcBorders>
            <w:hideMark/>
          </w:tcPr>
          <w:p w14:paraId="3231AA6D" w14:textId="77777777" w:rsidR="004E5D25" w:rsidRDefault="004E5D25">
            <w:r>
              <w:t>323</w:t>
            </w:r>
          </w:p>
        </w:tc>
        <w:tc>
          <w:tcPr>
            <w:tcW w:w="663" w:type="dxa"/>
            <w:tcBorders>
              <w:top w:val="single" w:sz="4" w:space="0" w:color="auto"/>
              <w:left w:val="single" w:sz="4" w:space="0" w:color="auto"/>
              <w:bottom w:val="single" w:sz="4" w:space="0" w:color="auto"/>
              <w:right w:val="single" w:sz="4" w:space="0" w:color="auto"/>
            </w:tcBorders>
            <w:hideMark/>
          </w:tcPr>
          <w:p w14:paraId="3663E78C" w14:textId="77777777" w:rsidR="004E5D25" w:rsidRDefault="004E5D25">
            <w:r>
              <w:t>236</w:t>
            </w:r>
          </w:p>
        </w:tc>
        <w:tc>
          <w:tcPr>
            <w:tcW w:w="663" w:type="dxa"/>
            <w:tcBorders>
              <w:top w:val="single" w:sz="4" w:space="0" w:color="auto"/>
              <w:left w:val="single" w:sz="4" w:space="0" w:color="auto"/>
              <w:bottom w:val="single" w:sz="4" w:space="0" w:color="auto"/>
              <w:right w:val="single" w:sz="4" w:space="0" w:color="auto"/>
            </w:tcBorders>
            <w:hideMark/>
          </w:tcPr>
          <w:p w14:paraId="31B6B86E" w14:textId="77777777" w:rsidR="004E5D25" w:rsidRDefault="004E5D25">
            <w:r>
              <w:t>195</w:t>
            </w:r>
          </w:p>
        </w:tc>
        <w:tc>
          <w:tcPr>
            <w:tcW w:w="668" w:type="dxa"/>
            <w:tcBorders>
              <w:top w:val="single" w:sz="4" w:space="0" w:color="auto"/>
              <w:left w:val="single" w:sz="4" w:space="0" w:color="auto"/>
              <w:bottom w:val="single" w:sz="4" w:space="0" w:color="auto"/>
              <w:right w:val="single" w:sz="4" w:space="0" w:color="auto"/>
            </w:tcBorders>
            <w:hideMark/>
          </w:tcPr>
          <w:p w14:paraId="49CE343E" w14:textId="77777777" w:rsidR="004E5D25" w:rsidRDefault="004E5D25">
            <w:r>
              <w:t>145</w:t>
            </w:r>
          </w:p>
        </w:tc>
        <w:tc>
          <w:tcPr>
            <w:tcW w:w="697" w:type="dxa"/>
            <w:tcBorders>
              <w:top w:val="single" w:sz="4" w:space="0" w:color="auto"/>
              <w:left w:val="single" w:sz="4" w:space="0" w:color="auto"/>
              <w:bottom w:val="single" w:sz="4" w:space="0" w:color="auto"/>
              <w:right w:val="single" w:sz="4" w:space="0" w:color="auto"/>
            </w:tcBorders>
            <w:hideMark/>
          </w:tcPr>
          <w:p w14:paraId="06B71807" w14:textId="77777777" w:rsidR="004E5D25" w:rsidRDefault="004E5D25">
            <w:r>
              <w:t>141</w:t>
            </w:r>
          </w:p>
        </w:tc>
        <w:tc>
          <w:tcPr>
            <w:tcW w:w="358" w:type="dxa"/>
            <w:tcBorders>
              <w:top w:val="single" w:sz="4" w:space="0" w:color="auto"/>
              <w:left w:val="single" w:sz="4" w:space="0" w:color="auto"/>
              <w:bottom w:val="single" w:sz="4" w:space="0" w:color="auto"/>
              <w:right w:val="single" w:sz="4" w:space="0" w:color="auto"/>
            </w:tcBorders>
            <w:shd w:val="clear" w:color="auto" w:fill="EEECE1" w:themeFill="background2"/>
          </w:tcPr>
          <w:p w14:paraId="39216E6E" w14:textId="77777777" w:rsidR="004E5D25" w:rsidRDefault="004E5D25"/>
        </w:tc>
        <w:tc>
          <w:tcPr>
            <w:tcW w:w="806" w:type="dxa"/>
            <w:tcBorders>
              <w:top w:val="single" w:sz="4" w:space="0" w:color="auto"/>
              <w:left w:val="single" w:sz="4" w:space="0" w:color="auto"/>
              <w:bottom w:val="single" w:sz="4" w:space="0" w:color="auto"/>
              <w:right w:val="single" w:sz="4" w:space="0" w:color="auto"/>
            </w:tcBorders>
            <w:hideMark/>
          </w:tcPr>
          <w:p w14:paraId="52963A0B" w14:textId="77777777" w:rsidR="004E5D25" w:rsidRDefault="004E5D25">
            <w:r>
              <w:t>79%</w:t>
            </w:r>
          </w:p>
        </w:tc>
        <w:tc>
          <w:tcPr>
            <w:tcW w:w="715" w:type="dxa"/>
            <w:tcBorders>
              <w:top w:val="single" w:sz="4" w:space="0" w:color="auto"/>
              <w:left w:val="single" w:sz="4" w:space="0" w:color="auto"/>
              <w:bottom w:val="single" w:sz="4" w:space="0" w:color="auto"/>
              <w:right w:val="single" w:sz="4" w:space="0" w:color="auto"/>
            </w:tcBorders>
            <w:hideMark/>
          </w:tcPr>
          <w:p w14:paraId="683D87CB" w14:textId="77777777" w:rsidR="004E5D25" w:rsidRDefault="004E5D25">
            <w:r>
              <w:t>72%</w:t>
            </w:r>
          </w:p>
        </w:tc>
      </w:tr>
      <w:tr w:rsidR="004E5D25" w14:paraId="1A551682" w14:textId="77777777" w:rsidTr="004E5D25">
        <w:tc>
          <w:tcPr>
            <w:tcW w:w="1264" w:type="dxa"/>
            <w:tcBorders>
              <w:top w:val="single" w:sz="4" w:space="0" w:color="auto"/>
              <w:left w:val="single" w:sz="4" w:space="0" w:color="auto"/>
              <w:bottom w:val="single" w:sz="4" w:space="0" w:color="auto"/>
              <w:right w:val="single" w:sz="4" w:space="0" w:color="auto"/>
            </w:tcBorders>
          </w:tcPr>
          <w:p w14:paraId="66A59E8C" w14:textId="77777777" w:rsidR="004E5D25" w:rsidRDefault="004E5D25">
            <w:r>
              <w:t>Pape</w:t>
            </w:r>
          </w:p>
          <w:p w14:paraId="7AC0499B" w14:textId="77777777" w:rsidR="004E5D25" w:rsidRDefault="004E5D25"/>
        </w:tc>
        <w:tc>
          <w:tcPr>
            <w:tcW w:w="1432" w:type="dxa"/>
            <w:tcBorders>
              <w:top w:val="single" w:sz="4" w:space="0" w:color="auto"/>
              <w:left w:val="single" w:sz="4" w:space="0" w:color="auto"/>
              <w:bottom w:val="single" w:sz="4" w:space="0" w:color="auto"/>
              <w:right w:val="single" w:sz="4" w:space="0" w:color="auto"/>
            </w:tcBorders>
            <w:hideMark/>
          </w:tcPr>
          <w:p w14:paraId="3DD4BCF7" w14:textId="77777777" w:rsidR="004E5D25" w:rsidRDefault="004E5D25">
            <w:r>
              <w:t>W15 Broadview-Danforth</w:t>
            </w:r>
          </w:p>
        </w:tc>
        <w:tc>
          <w:tcPr>
            <w:tcW w:w="936" w:type="dxa"/>
            <w:tcBorders>
              <w:top w:val="single" w:sz="4" w:space="0" w:color="auto"/>
              <w:left w:val="single" w:sz="4" w:space="0" w:color="auto"/>
              <w:bottom w:val="single" w:sz="4" w:space="0" w:color="auto"/>
              <w:right w:val="single" w:sz="4" w:space="0" w:color="auto"/>
            </w:tcBorders>
            <w:hideMark/>
          </w:tcPr>
          <w:p w14:paraId="25621ABC" w14:textId="77777777" w:rsidR="004E5D25" w:rsidRDefault="004E5D25">
            <w:r>
              <w:t>English single track</w:t>
            </w:r>
          </w:p>
        </w:tc>
        <w:tc>
          <w:tcPr>
            <w:tcW w:w="485" w:type="dxa"/>
            <w:tcBorders>
              <w:top w:val="single" w:sz="4" w:space="0" w:color="auto"/>
              <w:left w:val="single" w:sz="4" w:space="0" w:color="auto"/>
              <w:bottom w:val="single" w:sz="4" w:space="0" w:color="auto"/>
              <w:right w:val="single" w:sz="4" w:space="0" w:color="auto"/>
            </w:tcBorders>
            <w:shd w:val="clear" w:color="auto" w:fill="EEECE1" w:themeFill="background2"/>
          </w:tcPr>
          <w:p w14:paraId="3FA87151" w14:textId="77777777" w:rsidR="004E5D25" w:rsidRDefault="004E5D25"/>
        </w:tc>
        <w:tc>
          <w:tcPr>
            <w:tcW w:w="663" w:type="dxa"/>
            <w:tcBorders>
              <w:top w:val="single" w:sz="4" w:space="0" w:color="auto"/>
              <w:left w:val="single" w:sz="4" w:space="0" w:color="auto"/>
              <w:bottom w:val="single" w:sz="4" w:space="0" w:color="auto"/>
              <w:right w:val="single" w:sz="4" w:space="0" w:color="auto"/>
            </w:tcBorders>
            <w:hideMark/>
          </w:tcPr>
          <w:p w14:paraId="3C101428" w14:textId="77777777" w:rsidR="004E5D25" w:rsidRDefault="004E5D25">
            <w:r>
              <w:t>386</w:t>
            </w:r>
          </w:p>
        </w:tc>
        <w:tc>
          <w:tcPr>
            <w:tcW w:w="663" w:type="dxa"/>
            <w:tcBorders>
              <w:top w:val="single" w:sz="4" w:space="0" w:color="auto"/>
              <w:left w:val="single" w:sz="4" w:space="0" w:color="auto"/>
              <w:bottom w:val="single" w:sz="4" w:space="0" w:color="auto"/>
              <w:right w:val="single" w:sz="4" w:space="0" w:color="auto"/>
            </w:tcBorders>
            <w:hideMark/>
          </w:tcPr>
          <w:p w14:paraId="4FE2134E" w14:textId="77777777" w:rsidR="004E5D25" w:rsidRDefault="004E5D25">
            <w:r>
              <w:t>384</w:t>
            </w:r>
          </w:p>
        </w:tc>
        <w:tc>
          <w:tcPr>
            <w:tcW w:w="663" w:type="dxa"/>
            <w:tcBorders>
              <w:top w:val="single" w:sz="4" w:space="0" w:color="auto"/>
              <w:left w:val="single" w:sz="4" w:space="0" w:color="auto"/>
              <w:bottom w:val="single" w:sz="4" w:space="0" w:color="auto"/>
              <w:right w:val="single" w:sz="4" w:space="0" w:color="auto"/>
            </w:tcBorders>
            <w:hideMark/>
          </w:tcPr>
          <w:p w14:paraId="2F0B69D5" w14:textId="77777777" w:rsidR="004E5D25" w:rsidRDefault="004E5D25">
            <w:r>
              <w:t>330</w:t>
            </w:r>
          </w:p>
        </w:tc>
        <w:tc>
          <w:tcPr>
            <w:tcW w:w="668" w:type="dxa"/>
            <w:tcBorders>
              <w:top w:val="single" w:sz="4" w:space="0" w:color="auto"/>
              <w:left w:val="single" w:sz="4" w:space="0" w:color="auto"/>
              <w:bottom w:val="single" w:sz="4" w:space="0" w:color="auto"/>
              <w:right w:val="single" w:sz="4" w:space="0" w:color="auto"/>
            </w:tcBorders>
            <w:hideMark/>
          </w:tcPr>
          <w:p w14:paraId="63E7E9B1" w14:textId="77777777" w:rsidR="004E5D25" w:rsidRDefault="004E5D25">
            <w:r>
              <w:t>245</w:t>
            </w:r>
          </w:p>
        </w:tc>
        <w:tc>
          <w:tcPr>
            <w:tcW w:w="697" w:type="dxa"/>
            <w:tcBorders>
              <w:top w:val="single" w:sz="4" w:space="0" w:color="auto"/>
              <w:left w:val="single" w:sz="4" w:space="0" w:color="auto"/>
              <w:bottom w:val="single" w:sz="4" w:space="0" w:color="auto"/>
              <w:right w:val="single" w:sz="4" w:space="0" w:color="auto"/>
            </w:tcBorders>
            <w:hideMark/>
          </w:tcPr>
          <w:p w14:paraId="52FD18EC" w14:textId="77777777" w:rsidR="004E5D25" w:rsidRDefault="004E5D25">
            <w:r>
              <w:t>180</w:t>
            </w:r>
          </w:p>
        </w:tc>
        <w:tc>
          <w:tcPr>
            <w:tcW w:w="358" w:type="dxa"/>
            <w:tcBorders>
              <w:top w:val="single" w:sz="4" w:space="0" w:color="auto"/>
              <w:left w:val="single" w:sz="4" w:space="0" w:color="auto"/>
              <w:bottom w:val="single" w:sz="4" w:space="0" w:color="auto"/>
              <w:right w:val="single" w:sz="4" w:space="0" w:color="auto"/>
            </w:tcBorders>
            <w:shd w:val="clear" w:color="auto" w:fill="EEECE1" w:themeFill="background2"/>
          </w:tcPr>
          <w:p w14:paraId="52B1E59B" w14:textId="77777777" w:rsidR="004E5D25" w:rsidRDefault="004E5D25"/>
        </w:tc>
        <w:tc>
          <w:tcPr>
            <w:tcW w:w="806" w:type="dxa"/>
            <w:tcBorders>
              <w:top w:val="single" w:sz="4" w:space="0" w:color="auto"/>
              <w:left w:val="single" w:sz="4" w:space="0" w:color="auto"/>
              <w:bottom w:val="single" w:sz="4" w:space="0" w:color="auto"/>
              <w:right w:val="single" w:sz="4" w:space="0" w:color="auto"/>
            </w:tcBorders>
            <w:hideMark/>
          </w:tcPr>
          <w:p w14:paraId="0DC25D47" w14:textId="77777777" w:rsidR="004E5D25" w:rsidRDefault="004E5D25">
            <w:r>
              <w:t>71%</w:t>
            </w:r>
          </w:p>
        </w:tc>
        <w:tc>
          <w:tcPr>
            <w:tcW w:w="715" w:type="dxa"/>
            <w:tcBorders>
              <w:top w:val="single" w:sz="4" w:space="0" w:color="auto"/>
              <w:left w:val="single" w:sz="4" w:space="0" w:color="auto"/>
              <w:bottom w:val="single" w:sz="4" w:space="0" w:color="auto"/>
              <w:right w:val="single" w:sz="4" w:space="0" w:color="auto"/>
            </w:tcBorders>
            <w:hideMark/>
          </w:tcPr>
          <w:p w14:paraId="74812AD5" w14:textId="77777777" w:rsidR="004E5D25" w:rsidRDefault="004E5D25">
            <w:r>
              <w:t>55%</w:t>
            </w:r>
          </w:p>
        </w:tc>
      </w:tr>
      <w:tr w:rsidR="004E5D25" w14:paraId="3F98EF0C" w14:textId="77777777" w:rsidTr="004E5D25">
        <w:tc>
          <w:tcPr>
            <w:tcW w:w="1264" w:type="dxa"/>
            <w:tcBorders>
              <w:top w:val="single" w:sz="4" w:space="0" w:color="auto"/>
              <w:left w:val="single" w:sz="4" w:space="0" w:color="auto"/>
              <w:bottom w:val="single" w:sz="4" w:space="0" w:color="auto"/>
              <w:right w:val="single" w:sz="4" w:space="0" w:color="auto"/>
            </w:tcBorders>
          </w:tcPr>
          <w:p w14:paraId="4D4D26B5" w14:textId="77777777" w:rsidR="004E5D25" w:rsidRDefault="004E5D25">
            <w:r>
              <w:t>Chief Dan George</w:t>
            </w:r>
          </w:p>
          <w:p w14:paraId="23D2D169" w14:textId="77777777" w:rsidR="004E5D25" w:rsidRDefault="004E5D25"/>
        </w:tc>
        <w:tc>
          <w:tcPr>
            <w:tcW w:w="1432" w:type="dxa"/>
            <w:tcBorders>
              <w:top w:val="single" w:sz="4" w:space="0" w:color="auto"/>
              <w:left w:val="single" w:sz="4" w:space="0" w:color="auto"/>
              <w:bottom w:val="single" w:sz="4" w:space="0" w:color="auto"/>
              <w:right w:val="single" w:sz="4" w:space="0" w:color="auto"/>
            </w:tcBorders>
            <w:hideMark/>
          </w:tcPr>
          <w:p w14:paraId="69B872F2" w14:textId="77777777" w:rsidR="004E5D25" w:rsidRDefault="004E5D25">
            <w:r>
              <w:t>W22 Scarborough-Rouge Park</w:t>
            </w:r>
          </w:p>
        </w:tc>
        <w:tc>
          <w:tcPr>
            <w:tcW w:w="936" w:type="dxa"/>
            <w:tcBorders>
              <w:top w:val="single" w:sz="4" w:space="0" w:color="auto"/>
              <w:left w:val="single" w:sz="4" w:space="0" w:color="auto"/>
              <w:bottom w:val="single" w:sz="4" w:space="0" w:color="auto"/>
              <w:right w:val="single" w:sz="4" w:space="0" w:color="auto"/>
            </w:tcBorders>
            <w:hideMark/>
          </w:tcPr>
          <w:p w14:paraId="641EAAE4" w14:textId="77777777" w:rsidR="004E5D25" w:rsidRDefault="004E5D25">
            <w:r>
              <w:t>2013</w:t>
            </w:r>
          </w:p>
          <w:p w14:paraId="078EEC23" w14:textId="77777777" w:rsidR="004E5D25" w:rsidRDefault="004E5D25">
            <w:r>
              <w:t>(Dual track)</w:t>
            </w:r>
          </w:p>
        </w:tc>
        <w:tc>
          <w:tcPr>
            <w:tcW w:w="485" w:type="dxa"/>
            <w:tcBorders>
              <w:top w:val="single" w:sz="4" w:space="0" w:color="auto"/>
              <w:left w:val="single" w:sz="4" w:space="0" w:color="auto"/>
              <w:bottom w:val="single" w:sz="4" w:space="0" w:color="auto"/>
              <w:right w:val="single" w:sz="4" w:space="0" w:color="auto"/>
            </w:tcBorders>
            <w:shd w:val="clear" w:color="auto" w:fill="EEECE1" w:themeFill="background2"/>
          </w:tcPr>
          <w:p w14:paraId="11059F22" w14:textId="77777777" w:rsidR="004E5D25" w:rsidRDefault="004E5D25"/>
        </w:tc>
        <w:tc>
          <w:tcPr>
            <w:tcW w:w="663" w:type="dxa"/>
            <w:tcBorders>
              <w:top w:val="single" w:sz="4" w:space="0" w:color="auto"/>
              <w:left w:val="single" w:sz="4" w:space="0" w:color="auto"/>
              <w:bottom w:val="single" w:sz="4" w:space="0" w:color="auto"/>
              <w:right w:val="single" w:sz="4" w:space="0" w:color="auto"/>
            </w:tcBorders>
            <w:hideMark/>
          </w:tcPr>
          <w:p w14:paraId="1FB69978" w14:textId="77777777" w:rsidR="004E5D25" w:rsidRDefault="004E5D25">
            <w:r>
              <w:t>108</w:t>
            </w:r>
          </w:p>
        </w:tc>
        <w:tc>
          <w:tcPr>
            <w:tcW w:w="663" w:type="dxa"/>
            <w:tcBorders>
              <w:top w:val="single" w:sz="4" w:space="0" w:color="auto"/>
              <w:left w:val="single" w:sz="4" w:space="0" w:color="auto"/>
              <w:bottom w:val="single" w:sz="4" w:space="0" w:color="auto"/>
              <w:right w:val="single" w:sz="4" w:space="0" w:color="auto"/>
            </w:tcBorders>
            <w:hideMark/>
          </w:tcPr>
          <w:p w14:paraId="3B2A5A53" w14:textId="77777777" w:rsidR="004E5D25" w:rsidRDefault="004E5D25">
            <w:r>
              <w:t>122</w:t>
            </w:r>
          </w:p>
        </w:tc>
        <w:tc>
          <w:tcPr>
            <w:tcW w:w="663" w:type="dxa"/>
            <w:tcBorders>
              <w:top w:val="single" w:sz="4" w:space="0" w:color="auto"/>
              <w:left w:val="single" w:sz="4" w:space="0" w:color="auto"/>
              <w:bottom w:val="single" w:sz="4" w:space="0" w:color="auto"/>
              <w:right w:val="single" w:sz="4" w:space="0" w:color="auto"/>
            </w:tcBorders>
            <w:hideMark/>
          </w:tcPr>
          <w:p w14:paraId="62D7F1CD" w14:textId="77777777" w:rsidR="004E5D25" w:rsidRDefault="004E5D25">
            <w:r>
              <w:t>176</w:t>
            </w:r>
          </w:p>
        </w:tc>
        <w:tc>
          <w:tcPr>
            <w:tcW w:w="668" w:type="dxa"/>
            <w:tcBorders>
              <w:top w:val="single" w:sz="4" w:space="0" w:color="auto"/>
              <w:left w:val="single" w:sz="4" w:space="0" w:color="auto"/>
              <w:bottom w:val="single" w:sz="4" w:space="0" w:color="auto"/>
              <w:right w:val="single" w:sz="4" w:space="0" w:color="auto"/>
            </w:tcBorders>
            <w:hideMark/>
          </w:tcPr>
          <w:p w14:paraId="11642289" w14:textId="77777777" w:rsidR="004E5D25" w:rsidRDefault="004E5D25">
            <w:r>
              <w:t>268</w:t>
            </w:r>
          </w:p>
        </w:tc>
        <w:tc>
          <w:tcPr>
            <w:tcW w:w="697" w:type="dxa"/>
            <w:tcBorders>
              <w:top w:val="single" w:sz="4" w:space="0" w:color="auto"/>
              <w:left w:val="single" w:sz="4" w:space="0" w:color="auto"/>
              <w:bottom w:val="single" w:sz="4" w:space="0" w:color="auto"/>
              <w:right w:val="single" w:sz="4" w:space="0" w:color="auto"/>
            </w:tcBorders>
            <w:hideMark/>
          </w:tcPr>
          <w:p w14:paraId="498DAC2C" w14:textId="77777777" w:rsidR="004E5D25" w:rsidRDefault="004E5D25">
            <w:r>
              <w:t>385</w:t>
            </w:r>
          </w:p>
        </w:tc>
        <w:tc>
          <w:tcPr>
            <w:tcW w:w="358" w:type="dxa"/>
            <w:tcBorders>
              <w:top w:val="single" w:sz="4" w:space="0" w:color="auto"/>
              <w:left w:val="single" w:sz="4" w:space="0" w:color="auto"/>
              <w:bottom w:val="single" w:sz="4" w:space="0" w:color="auto"/>
              <w:right w:val="single" w:sz="4" w:space="0" w:color="auto"/>
            </w:tcBorders>
            <w:shd w:val="clear" w:color="auto" w:fill="EEECE1" w:themeFill="background2"/>
          </w:tcPr>
          <w:p w14:paraId="5B12FBFC" w14:textId="77777777" w:rsidR="004E5D25" w:rsidRDefault="004E5D25"/>
        </w:tc>
        <w:tc>
          <w:tcPr>
            <w:tcW w:w="806" w:type="dxa"/>
            <w:tcBorders>
              <w:top w:val="single" w:sz="4" w:space="0" w:color="auto"/>
              <w:left w:val="single" w:sz="4" w:space="0" w:color="auto"/>
              <w:bottom w:val="single" w:sz="4" w:space="0" w:color="auto"/>
              <w:right w:val="single" w:sz="4" w:space="0" w:color="auto"/>
            </w:tcBorders>
            <w:hideMark/>
          </w:tcPr>
          <w:p w14:paraId="0259D0E3" w14:textId="77777777" w:rsidR="004E5D25" w:rsidRDefault="004E5D25">
            <w:r>
              <w:t>79%</w:t>
            </w:r>
          </w:p>
        </w:tc>
        <w:tc>
          <w:tcPr>
            <w:tcW w:w="715" w:type="dxa"/>
            <w:tcBorders>
              <w:top w:val="single" w:sz="4" w:space="0" w:color="auto"/>
              <w:left w:val="single" w:sz="4" w:space="0" w:color="auto"/>
              <w:bottom w:val="single" w:sz="4" w:space="0" w:color="auto"/>
              <w:right w:val="single" w:sz="4" w:space="0" w:color="auto"/>
            </w:tcBorders>
            <w:hideMark/>
          </w:tcPr>
          <w:p w14:paraId="4AAF3BE0" w14:textId="77777777" w:rsidR="004E5D25" w:rsidRDefault="004E5D25">
            <w:r>
              <w:t>96%</w:t>
            </w:r>
          </w:p>
        </w:tc>
      </w:tr>
    </w:tbl>
    <w:p w14:paraId="691774B3" w14:textId="77777777" w:rsidR="004E5D25" w:rsidRDefault="004E5D25" w:rsidP="004E5D25">
      <w:pPr>
        <w:rPr>
          <w:rFonts w:asciiTheme="minorHAnsi" w:hAnsiTheme="minorHAnsi" w:cstheme="minorBidi"/>
          <w:kern w:val="2"/>
          <w:sz w:val="22"/>
          <w:szCs w:val="22"/>
          <w:lang w:val="en-US" w:eastAsia="en-US"/>
          <w14:ligatures w14:val="standardContextual"/>
        </w:rPr>
      </w:pPr>
    </w:p>
    <w:p w14:paraId="43E4F2F5" w14:textId="77777777" w:rsidR="004E5D25" w:rsidRDefault="004E5D25" w:rsidP="004E5D25">
      <w:r>
        <w:t xml:space="preserve">In Ward 15, Broadview-Danforth, single track English schools, Bruce, Chester and Pape experienced a significant decrease in LOI rank and increase in utilization between 2011 and 2022/23 as did Blake St which started the FI program in 2014.   </w:t>
      </w:r>
    </w:p>
    <w:p w14:paraId="41498B7A" w14:textId="77777777" w:rsidR="004E5D25" w:rsidRDefault="004E5D25" w:rsidP="004E5D25">
      <w:r>
        <w:t xml:space="preserve">In Ward 1, Etobicoke North, Melody Village started FI in 2014 and W 22, Scarborough-Rouge Park, Chief Dan George started FI in 2013. Completely opposite to the Ward 15 examples, these FI schools experienced a decline in SES and moved 200+ places up the LOI to a higher needs level. </w:t>
      </w:r>
    </w:p>
    <w:p w14:paraId="3D78A56E" w14:textId="77777777" w:rsidR="004E5D25" w:rsidRDefault="004E5D25" w:rsidP="004E5D25">
      <w:r>
        <w:t xml:space="preserve">In Ward 7, Parkdale-High Park, Parkdale PS started FI in 2009. Between 2011 and 2022/23, Parkdale PS and Dr Rita Cox-Kina Minagok (formerly Queen Victoria) which is a single track English school both experienced a significant decrease in LOI rank and decreases in utilization.  </w:t>
      </w:r>
    </w:p>
    <w:p w14:paraId="586F4C32" w14:textId="77777777" w:rsidR="004E5D25" w:rsidRDefault="004E5D25" w:rsidP="004E5D25">
      <w:r>
        <w:t xml:space="preserve">These examples illustrate that isolating the effect of the introduction of FI at a school is not a consistent factor in changes to LOI and may in fact, not be a factor at all in changes to LOI. </w:t>
      </w:r>
    </w:p>
    <w:p w14:paraId="40CAEED5" w14:textId="77777777" w:rsidR="004E5D25" w:rsidRDefault="004E5D25" w:rsidP="004E5D25">
      <w:r>
        <w:lastRenderedPageBreak/>
        <w:t xml:space="preserve">From our observations in our city, it appears that  neighbourhoods, particularly downtown and central core ones, the influx of people with post-secondary education and higher incomes has more to do with rental and real estate markets, condo and townhouse development and the expansion of the financial and tech sector in Toronto than it has to do with the addition of an FI program. </w:t>
      </w:r>
    </w:p>
    <w:p w14:paraId="443944F5" w14:textId="77777777" w:rsidR="004E5D25" w:rsidRDefault="004E5D25" w:rsidP="004E5D25">
      <w:r>
        <w:t>References retrieved Feb 1, 2024:</w:t>
      </w:r>
    </w:p>
    <w:p w14:paraId="64175434" w14:textId="77777777" w:rsidR="004E5D25" w:rsidRDefault="00000000" w:rsidP="004E5D25">
      <w:hyperlink r:id="rId13" w:history="1">
        <w:r w:rsidR="004E5D25">
          <w:rPr>
            <w:rStyle w:val="Hyperlink"/>
          </w:rPr>
          <w:t>https://www.tdsb.on.ca/research/research/learning-opportunities-index</w:t>
        </w:r>
      </w:hyperlink>
      <w:r w:rsidR="004E5D25">
        <w:t xml:space="preserve"> </w:t>
      </w:r>
    </w:p>
    <w:p w14:paraId="6E0629A0" w14:textId="77777777" w:rsidR="004E5D25" w:rsidRDefault="00000000" w:rsidP="004E5D25">
      <w:hyperlink r:id="rId14" w:history="1">
        <w:r w:rsidR="004E5D25">
          <w:rPr>
            <w:rStyle w:val="Hyperlink"/>
          </w:rPr>
          <w:t>https://www.tdsb.on.ca/About-Us/Strategy-Planning/Long-Term-Program-and-Accommodation-Strategy</w:t>
        </w:r>
      </w:hyperlink>
      <w:r w:rsidR="004E5D25">
        <w:t xml:space="preserve"> </w:t>
      </w:r>
    </w:p>
    <w:p w14:paraId="7D77DE0D" w14:textId="77777777" w:rsidR="004E5D25" w:rsidRDefault="004E5D25" w:rsidP="004E5D25">
      <w:pPr>
        <w:rPr>
          <w:b/>
          <w:bCs/>
        </w:rPr>
      </w:pPr>
      <w:r>
        <w:rPr>
          <w:b/>
          <w:bCs/>
        </w:rPr>
        <w:t>Model Schools Program:</w:t>
      </w:r>
    </w:p>
    <w:p w14:paraId="7A8E8D88" w14:textId="77777777" w:rsidR="004E5D25" w:rsidRDefault="004E5D25" w:rsidP="004E5D25">
      <w:r>
        <w:t xml:space="preserve">As noted from the November 2023 presentation by System Superintendent Karen Murray and the January 2024 presentation by Dr David Cameron at the FSLCAC, as many as 15-18 schools move in and out of the model schools cutoff of 150 or less for LOI every time the LOI is recalculated. Schools with improving SES (socio-economic status) continue to be supported with additional resources as they transition from a school with a predominantly low SES to a more mixed one. </w:t>
      </w:r>
    </w:p>
    <w:p w14:paraId="49D8A180" w14:textId="77777777" w:rsidR="004E5D25" w:rsidRDefault="004E5D25" w:rsidP="004E5D25">
      <w:r>
        <w:t xml:space="preserve">The Model Schools program directs additional resources to 150 schools with the greatest level of external challenges; ie, where the student population has an above average concentration of needs to support. However, there are also children with low SES, often in significant numbers,  in schools ranked 151+ on the LOI that do not receive the additional supports that come with the Model School designation. The unsaid expectation is that mixed and high SES school communities will mobilize and use their bandwidth to support each other and the school. </w:t>
      </w:r>
    </w:p>
    <w:p w14:paraId="16B89886" w14:textId="77777777" w:rsidR="004E5D25" w:rsidRDefault="004E5D25" w:rsidP="004E5D25">
      <w:pPr>
        <w:rPr>
          <w:b/>
          <w:bCs/>
        </w:rPr>
      </w:pPr>
      <w:r>
        <w:rPr>
          <w:b/>
          <w:bCs/>
        </w:rPr>
        <w:t>Potential impact of removing French Immersion (FI) students from the LOI:</w:t>
      </w:r>
    </w:p>
    <w:p w14:paraId="42C00B2C" w14:textId="77777777" w:rsidR="004E5D25" w:rsidRDefault="004E5D25" w:rsidP="004E5D25">
      <w:r>
        <w:t xml:space="preserve">In the most recent publicly available data (2016-17),  FI skewed to higher socio-economic status. It remains unclear what impact the equity efforts in French Immersion have had in the intervening years. </w:t>
      </w:r>
    </w:p>
    <w:tbl>
      <w:tblPr>
        <w:tblStyle w:val="TableGrid"/>
        <w:tblW w:w="0" w:type="auto"/>
        <w:tblInd w:w="0" w:type="dxa"/>
        <w:tblLook w:val="04A0" w:firstRow="1" w:lastRow="0" w:firstColumn="1" w:lastColumn="0" w:noHBand="0" w:noVBand="1"/>
      </w:tblPr>
      <w:tblGrid>
        <w:gridCol w:w="2155"/>
        <w:gridCol w:w="900"/>
        <w:gridCol w:w="900"/>
      </w:tblGrid>
      <w:tr w:rsidR="004E5D25" w14:paraId="29BCD463" w14:textId="77777777" w:rsidTr="004E5D25">
        <w:tc>
          <w:tcPr>
            <w:tcW w:w="2155" w:type="dxa"/>
            <w:tcBorders>
              <w:top w:val="single" w:sz="4" w:space="0" w:color="auto"/>
              <w:left w:val="single" w:sz="4" w:space="0" w:color="auto"/>
              <w:bottom w:val="single" w:sz="4" w:space="0" w:color="auto"/>
              <w:right w:val="single" w:sz="4" w:space="0" w:color="auto"/>
            </w:tcBorders>
            <w:hideMark/>
          </w:tcPr>
          <w:p w14:paraId="5C795D31" w14:textId="77777777" w:rsidR="004E5D25" w:rsidRDefault="004E5D25">
            <w:pPr>
              <w:rPr>
                <w:b/>
                <w:bCs/>
              </w:rPr>
            </w:pPr>
            <w:r>
              <w:rPr>
                <w:b/>
                <w:bCs/>
              </w:rPr>
              <w:t>Household Income</w:t>
            </w:r>
          </w:p>
          <w:p w14:paraId="36F90235" w14:textId="77777777" w:rsidR="004E5D25" w:rsidRDefault="004E5D25">
            <w:pPr>
              <w:rPr>
                <w:b/>
                <w:bCs/>
              </w:rPr>
            </w:pPr>
            <w:r>
              <w:rPr>
                <w:b/>
                <w:bCs/>
              </w:rPr>
              <w:t>2016-17</w:t>
            </w:r>
          </w:p>
        </w:tc>
        <w:tc>
          <w:tcPr>
            <w:tcW w:w="900" w:type="dxa"/>
            <w:tcBorders>
              <w:top w:val="single" w:sz="4" w:space="0" w:color="auto"/>
              <w:left w:val="single" w:sz="4" w:space="0" w:color="auto"/>
              <w:bottom w:val="single" w:sz="4" w:space="0" w:color="auto"/>
              <w:right w:val="single" w:sz="4" w:space="0" w:color="auto"/>
            </w:tcBorders>
            <w:hideMark/>
          </w:tcPr>
          <w:p w14:paraId="09D68A31" w14:textId="77777777" w:rsidR="004E5D25" w:rsidRDefault="004E5D25">
            <w:pPr>
              <w:rPr>
                <w:b/>
                <w:bCs/>
              </w:rPr>
            </w:pPr>
            <w:r>
              <w:rPr>
                <w:b/>
                <w:bCs/>
              </w:rPr>
              <w:t>FI</w:t>
            </w:r>
          </w:p>
          <w:p w14:paraId="0680329A" w14:textId="77777777" w:rsidR="004E5D25" w:rsidRDefault="004E5D25">
            <w:pPr>
              <w:rPr>
                <w:b/>
                <w:bCs/>
              </w:rPr>
            </w:pPr>
            <w:r>
              <w:rPr>
                <w:b/>
                <w:bCs/>
              </w:rPr>
              <w:t>K-6</w:t>
            </w:r>
          </w:p>
        </w:tc>
        <w:tc>
          <w:tcPr>
            <w:tcW w:w="900" w:type="dxa"/>
            <w:tcBorders>
              <w:top w:val="single" w:sz="4" w:space="0" w:color="auto"/>
              <w:left w:val="single" w:sz="4" w:space="0" w:color="auto"/>
              <w:bottom w:val="single" w:sz="4" w:space="0" w:color="auto"/>
              <w:right w:val="single" w:sz="4" w:space="0" w:color="auto"/>
            </w:tcBorders>
            <w:hideMark/>
          </w:tcPr>
          <w:p w14:paraId="7F21E547" w14:textId="77777777" w:rsidR="004E5D25" w:rsidRDefault="004E5D25">
            <w:pPr>
              <w:rPr>
                <w:b/>
                <w:bCs/>
              </w:rPr>
            </w:pPr>
            <w:r>
              <w:rPr>
                <w:b/>
                <w:bCs/>
              </w:rPr>
              <w:t>TDSB</w:t>
            </w:r>
          </w:p>
          <w:p w14:paraId="5265E2DB" w14:textId="77777777" w:rsidR="004E5D25" w:rsidRDefault="004E5D25">
            <w:pPr>
              <w:rPr>
                <w:b/>
                <w:bCs/>
              </w:rPr>
            </w:pPr>
            <w:r>
              <w:rPr>
                <w:b/>
                <w:bCs/>
              </w:rPr>
              <w:t>K-6</w:t>
            </w:r>
          </w:p>
        </w:tc>
      </w:tr>
      <w:tr w:rsidR="004E5D25" w14:paraId="4445C2C5" w14:textId="77777777" w:rsidTr="004E5D25">
        <w:tc>
          <w:tcPr>
            <w:tcW w:w="2155" w:type="dxa"/>
            <w:tcBorders>
              <w:top w:val="single" w:sz="4" w:space="0" w:color="auto"/>
              <w:left w:val="single" w:sz="4" w:space="0" w:color="auto"/>
              <w:bottom w:val="single" w:sz="4" w:space="0" w:color="auto"/>
              <w:right w:val="single" w:sz="4" w:space="0" w:color="auto"/>
            </w:tcBorders>
            <w:hideMark/>
          </w:tcPr>
          <w:p w14:paraId="4C2C91DC" w14:textId="77777777" w:rsidR="004E5D25" w:rsidRDefault="004E5D25">
            <w:r>
              <w:t>Less than $30,000</w:t>
            </w:r>
          </w:p>
        </w:tc>
        <w:tc>
          <w:tcPr>
            <w:tcW w:w="900" w:type="dxa"/>
            <w:tcBorders>
              <w:top w:val="single" w:sz="4" w:space="0" w:color="auto"/>
              <w:left w:val="single" w:sz="4" w:space="0" w:color="auto"/>
              <w:bottom w:val="single" w:sz="4" w:space="0" w:color="auto"/>
              <w:right w:val="single" w:sz="4" w:space="0" w:color="auto"/>
            </w:tcBorders>
            <w:hideMark/>
          </w:tcPr>
          <w:p w14:paraId="64E49217" w14:textId="77777777" w:rsidR="004E5D25" w:rsidRDefault="004E5D25">
            <w:r>
              <w:t>7%</w:t>
            </w:r>
          </w:p>
        </w:tc>
        <w:tc>
          <w:tcPr>
            <w:tcW w:w="900" w:type="dxa"/>
            <w:tcBorders>
              <w:top w:val="single" w:sz="4" w:space="0" w:color="auto"/>
              <w:left w:val="single" w:sz="4" w:space="0" w:color="auto"/>
              <w:bottom w:val="single" w:sz="4" w:space="0" w:color="auto"/>
              <w:right w:val="single" w:sz="4" w:space="0" w:color="auto"/>
            </w:tcBorders>
            <w:hideMark/>
          </w:tcPr>
          <w:p w14:paraId="2FC56F26" w14:textId="77777777" w:rsidR="004E5D25" w:rsidRDefault="004E5D25">
            <w:r>
              <w:t>23%</w:t>
            </w:r>
          </w:p>
        </w:tc>
      </w:tr>
      <w:tr w:rsidR="004E5D25" w14:paraId="775A8123" w14:textId="77777777" w:rsidTr="004E5D25">
        <w:tc>
          <w:tcPr>
            <w:tcW w:w="2155" w:type="dxa"/>
            <w:tcBorders>
              <w:top w:val="single" w:sz="4" w:space="0" w:color="auto"/>
              <w:left w:val="single" w:sz="4" w:space="0" w:color="auto"/>
              <w:bottom w:val="single" w:sz="4" w:space="0" w:color="auto"/>
              <w:right w:val="single" w:sz="4" w:space="0" w:color="auto"/>
            </w:tcBorders>
            <w:hideMark/>
          </w:tcPr>
          <w:p w14:paraId="434DE1B9" w14:textId="77777777" w:rsidR="004E5D25" w:rsidRDefault="004E5D25">
            <w:r>
              <w:t>$30,000-49,999</w:t>
            </w:r>
          </w:p>
        </w:tc>
        <w:tc>
          <w:tcPr>
            <w:tcW w:w="900" w:type="dxa"/>
            <w:tcBorders>
              <w:top w:val="single" w:sz="4" w:space="0" w:color="auto"/>
              <w:left w:val="single" w:sz="4" w:space="0" w:color="auto"/>
              <w:bottom w:val="single" w:sz="4" w:space="0" w:color="auto"/>
              <w:right w:val="single" w:sz="4" w:space="0" w:color="auto"/>
            </w:tcBorders>
            <w:hideMark/>
          </w:tcPr>
          <w:p w14:paraId="1DD94E1A" w14:textId="77777777" w:rsidR="004E5D25" w:rsidRDefault="004E5D25">
            <w:r>
              <w:t>8%</w:t>
            </w:r>
          </w:p>
        </w:tc>
        <w:tc>
          <w:tcPr>
            <w:tcW w:w="900" w:type="dxa"/>
            <w:tcBorders>
              <w:top w:val="single" w:sz="4" w:space="0" w:color="auto"/>
              <w:left w:val="single" w:sz="4" w:space="0" w:color="auto"/>
              <w:bottom w:val="single" w:sz="4" w:space="0" w:color="auto"/>
              <w:right w:val="single" w:sz="4" w:space="0" w:color="auto"/>
            </w:tcBorders>
            <w:hideMark/>
          </w:tcPr>
          <w:p w14:paraId="3495F165" w14:textId="77777777" w:rsidR="004E5D25" w:rsidRDefault="004E5D25">
            <w:r>
              <w:t>18%</w:t>
            </w:r>
          </w:p>
        </w:tc>
      </w:tr>
      <w:tr w:rsidR="004E5D25" w14:paraId="29C2E92F" w14:textId="77777777" w:rsidTr="004E5D25">
        <w:tc>
          <w:tcPr>
            <w:tcW w:w="2155" w:type="dxa"/>
            <w:tcBorders>
              <w:top w:val="single" w:sz="4" w:space="0" w:color="auto"/>
              <w:left w:val="single" w:sz="4" w:space="0" w:color="auto"/>
              <w:bottom w:val="single" w:sz="4" w:space="0" w:color="auto"/>
              <w:right w:val="single" w:sz="4" w:space="0" w:color="auto"/>
            </w:tcBorders>
            <w:hideMark/>
          </w:tcPr>
          <w:p w14:paraId="66190690" w14:textId="77777777" w:rsidR="004E5D25" w:rsidRDefault="004E5D25">
            <w:r>
              <w:t>$50,000-74,999</w:t>
            </w:r>
          </w:p>
        </w:tc>
        <w:tc>
          <w:tcPr>
            <w:tcW w:w="900" w:type="dxa"/>
            <w:tcBorders>
              <w:top w:val="single" w:sz="4" w:space="0" w:color="auto"/>
              <w:left w:val="single" w:sz="4" w:space="0" w:color="auto"/>
              <w:bottom w:val="single" w:sz="4" w:space="0" w:color="auto"/>
              <w:right w:val="single" w:sz="4" w:space="0" w:color="auto"/>
            </w:tcBorders>
            <w:hideMark/>
          </w:tcPr>
          <w:p w14:paraId="691D9D0C" w14:textId="77777777" w:rsidR="004E5D25" w:rsidRDefault="004E5D25">
            <w:r>
              <w:t>11%</w:t>
            </w:r>
          </w:p>
        </w:tc>
        <w:tc>
          <w:tcPr>
            <w:tcW w:w="900" w:type="dxa"/>
            <w:tcBorders>
              <w:top w:val="single" w:sz="4" w:space="0" w:color="auto"/>
              <w:left w:val="single" w:sz="4" w:space="0" w:color="auto"/>
              <w:bottom w:val="single" w:sz="4" w:space="0" w:color="auto"/>
              <w:right w:val="single" w:sz="4" w:space="0" w:color="auto"/>
            </w:tcBorders>
            <w:hideMark/>
          </w:tcPr>
          <w:p w14:paraId="301ED44A" w14:textId="77777777" w:rsidR="004E5D25" w:rsidRDefault="004E5D25">
            <w:r>
              <w:t>14%</w:t>
            </w:r>
          </w:p>
        </w:tc>
      </w:tr>
      <w:tr w:rsidR="004E5D25" w14:paraId="77D2FA0E" w14:textId="77777777" w:rsidTr="004E5D25">
        <w:tc>
          <w:tcPr>
            <w:tcW w:w="2155" w:type="dxa"/>
            <w:tcBorders>
              <w:top w:val="single" w:sz="4" w:space="0" w:color="auto"/>
              <w:left w:val="single" w:sz="4" w:space="0" w:color="auto"/>
              <w:bottom w:val="single" w:sz="4" w:space="0" w:color="auto"/>
              <w:right w:val="single" w:sz="4" w:space="0" w:color="auto"/>
            </w:tcBorders>
            <w:hideMark/>
          </w:tcPr>
          <w:p w14:paraId="357882CC" w14:textId="77777777" w:rsidR="004E5D25" w:rsidRDefault="004E5D25">
            <w:r>
              <w:lastRenderedPageBreak/>
              <w:t>$75,000-99,999</w:t>
            </w:r>
          </w:p>
        </w:tc>
        <w:tc>
          <w:tcPr>
            <w:tcW w:w="900" w:type="dxa"/>
            <w:tcBorders>
              <w:top w:val="single" w:sz="4" w:space="0" w:color="auto"/>
              <w:left w:val="single" w:sz="4" w:space="0" w:color="auto"/>
              <w:bottom w:val="single" w:sz="4" w:space="0" w:color="auto"/>
              <w:right w:val="single" w:sz="4" w:space="0" w:color="auto"/>
            </w:tcBorders>
            <w:hideMark/>
          </w:tcPr>
          <w:p w14:paraId="6B3E93F7" w14:textId="77777777" w:rsidR="004E5D25" w:rsidRDefault="004E5D25">
            <w:r>
              <w:t>12%</w:t>
            </w:r>
          </w:p>
        </w:tc>
        <w:tc>
          <w:tcPr>
            <w:tcW w:w="900" w:type="dxa"/>
            <w:tcBorders>
              <w:top w:val="single" w:sz="4" w:space="0" w:color="auto"/>
              <w:left w:val="single" w:sz="4" w:space="0" w:color="auto"/>
              <w:bottom w:val="single" w:sz="4" w:space="0" w:color="auto"/>
              <w:right w:val="single" w:sz="4" w:space="0" w:color="auto"/>
            </w:tcBorders>
            <w:hideMark/>
          </w:tcPr>
          <w:p w14:paraId="5ABF4BFC" w14:textId="77777777" w:rsidR="004E5D25" w:rsidRDefault="004E5D25">
            <w:r>
              <w:t>10%</w:t>
            </w:r>
          </w:p>
        </w:tc>
      </w:tr>
      <w:tr w:rsidR="004E5D25" w14:paraId="6D62EA4B" w14:textId="77777777" w:rsidTr="004E5D25">
        <w:tc>
          <w:tcPr>
            <w:tcW w:w="2155" w:type="dxa"/>
            <w:tcBorders>
              <w:top w:val="single" w:sz="4" w:space="0" w:color="auto"/>
              <w:left w:val="single" w:sz="4" w:space="0" w:color="auto"/>
              <w:bottom w:val="single" w:sz="4" w:space="0" w:color="auto"/>
              <w:right w:val="single" w:sz="4" w:space="0" w:color="auto"/>
            </w:tcBorders>
            <w:hideMark/>
          </w:tcPr>
          <w:p w14:paraId="73CFE06C" w14:textId="77777777" w:rsidR="004E5D25" w:rsidRDefault="004E5D25">
            <w:r>
              <w:t>$100,000 +</w:t>
            </w:r>
          </w:p>
        </w:tc>
        <w:tc>
          <w:tcPr>
            <w:tcW w:w="900" w:type="dxa"/>
            <w:tcBorders>
              <w:top w:val="single" w:sz="4" w:space="0" w:color="auto"/>
              <w:left w:val="single" w:sz="4" w:space="0" w:color="auto"/>
              <w:bottom w:val="single" w:sz="4" w:space="0" w:color="auto"/>
              <w:right w:val="single" w:sz="4" w:space="0" w:color="auto"/>
            </w:tcBorders>
            <w:hideMark/>
          </w:tcPr>
          <w:p w14:paraId="08E17A76" w14:textId="77777777" w:rsidR="004E5D25" w:rsidRDefault="004E5D25">
            <w:r>
              <w:t>63%</w:t>
            </w:r>
          </w:p>
        </w:tc>
        <w:tc>
          <w:tcPr>
            <w:tcW w:w="900" w:type="dxa"/>
            <w:tcBorders>
              <w:top w:val="single" w:sz="4" w:space="0" w:color="auto"/>
              <w:left w:val="single" w:sz="4" w:space="0" w:color="auto"/>
              <w:bottom w:val="single" w:sz="4" w:space="0" w:color="auto"/>
              <w:right w:val="single" w:sz="4" w:space="0" w:color="auto"/>
            </w:tcBorders>
            <w:hideMark/>
          </w:tcPr>
          <w:p w14:paraId="4D23B1A5" w14:textId="77777777" w:rsidR="004E5D25" w:rsidRDefault="004E5D25">
            <w:r>
              <w:t>35%</w:t>
            </w:r>
          </w:p>
        </w:tc>
      </w:tr>
    </w:tbl>
    <w:p w14:paraId="06C339E8" w14:textId="77777777" w:rsidR="004E5D25" w:rsidRDefault="004E5D25" w:rsidP="004E5D25">
      <w:pPr>
        <w:rPr>
          <w:rFonts w:asciiTheme="minorHAnsi" w:hAnsiTheme="minorHAnsi" w:cstheme="minorBidi"/>
          <w:kern w:val="2"/>
          <w:sz w:val="22"/>
          <w:szCs w:val="22"/>
          <w:lang w:val="en-US" w:eastAsia="en-US"/>
          <w14:ligatures w14:val="standardContextual"/>
        </w:rPr>
      </w:pPr>
    </w:p>
    <w:tbl>
      <w:tblPr>
        <w:tblStyle w:val="TableGrid"/>
        <w:tblW w:w="0" w:type="auto"/>
        <w:tblInd w:w="0" w:type="dxa"/>
        <w:tblLook w:val="04A0" w:firstRow="1" w:lastRow="0" w:firstColumn="1" w:lastColumn="0" w:noHBand="0" w:noVBand="1"/>
      </w:tblPr>
      <w:tblGrid>
        <w:gridCol w:w="2605"/>
        <w:gridCol w:w="900"/>
        <w:gridCol w:w="1018"/>
      </w:tblGrid>
      <w:tr w:rsidR="004E5D25" w14:paraId="49509E23" w14:textId="77777777" w:rsidTr="004E5D25">
        <w:tc>
          <w:tcPr>
            <w:tcW w:w="2605" w:type="dxa"/>
            <w:tcBorders>
              <w:top w:val="single" w:sz="4" w:space="0" w:color="auto"/>
              <w:left w:val="single" w:sz="4" w:space="0" w:color="auto"/>
              <w:bottom w:val="single" w:sz="4" w:space="0" w:color="auto"/>
              <w:right w:val="single" w:sz="4" w:space="0" w:color="auto"/>
            </w:tcBorders>
            <w:hideMark/>
          </w:tcPr>
          <w:p w14:paraId="0A913A19" w14:textId="77777777" w:rsidR="004E5D25" w:rsidRDefault="004E5D25">
            <w:pPr>
              <w:rPr>
                <w:b/>
                <w:bCs/>
              </w:rPr>
            </w:pPr>
            <w:r>
              <w:rPr>
                <w:b/>
                <w:bCs/>
              </w:rPr>
              <w:t>Parents’ Education Level</w:t>
            </w:r>
          </w:p>
          <w:p w14:paraId="006E8922" w14:textId="77777777" w:rsidR="004E5D25" w:rsidRDefault="004E5D25">
            <w:pPr>
              <w:rPr>
                <w:b/>
                <w:bCs/>
              </w:rPr>
            </w:pPr>
            <w:r>
              <w:rPr>
                <w:b/>
                <w:bCs/>
              </w:rPr>
              <w:t>2016-17</w:t>
            </w:r>
          </w:p>
        </w:tc>
        <w:tc>
          <w:tcPr>
            <w:tcW w:w="900" w:type="dxa"/>
            <w:tcBorders>
              <w:top w:val="single" w:sz="4" w:space="0" w:color="auto"/>
              <w:left w:val="single" w:sz="4" w:space="0" w:color="auto"/>
              <w:bottom w:val="single" w:sz="4" w:space="0" w:color="auto"/>
              <w:right w:val="single" w:sz="4" w:space="0" w:color="auto"/>
            </w:tcBorders>
            <w:hideMark/>
          </w:tcPr>
          <w:p w14:paraId="2B8F8BBC" w14:textId="77777777" w:rsidR="004E5D25" w:rsidRDefault="004E5D25">
            <w:pPr>
              <w:rPr>
                <w:b/>
                <w:bCs/>
              </w:rPr>
            </w:pPr>
            <w:r>
              <w:rPr>
                <w:b/>
                <w:bCs/>
              </w:rPr>
              <w:t>FI K-6</w:t>
            </w:r>
          </w:p>
        </w:tc>
        <w:tc>
          <w:tcPr>
            <w:tcW w:w="1018" w:type="dxa"/>
            <w:tcBorders>
              <w:top w:val="single" w:sz="4" w:space="0" w:color="auto"/>
              <w:left w:val="single" w:sz="4" w:space="0" w:color="auto"/>
              <w:bottom w:val="single" w:sz="4" w:space="0" w:color="auto"/>
              <w:right w:val="single" w:sz="4" w:space="0" w:color="auto"/>
            </w:tcBorders>
            <w:hideMark/>
          </w:tcPr>
          <w:p w14:paraId="3CF06F7C" w14:textId="77777777" w:rsidR="004E5D25" w:rsidRDefault="004E5D25">
            <w:pPr>
              <w:rPr>
                <w:b/>
                <w:bCs/>
              </w:rPr>
            </w:pPr>
            <w:r>
              <w:rPr>
                <w:b/>
                <w:bCs/>
              </w:rPr>
              <w:t>TDSB</w:t>
            </w:r>
          </w:p>
          <w:p w14:paraId="6EF1B243" w14:textId="77777777" w:rsidR="004E5D25" w:rsidRDefault="004E5D25">
            <w:pPr>
              <w:rPr>
                <w:b/>
                <w:bCs/>
              </w:rPr>
            </w:pPr>
            <w:r>
              <w:rPr>
                <w:b/>
                <w:bCs/>
              </w:rPr>
              <w:t>K-6</w:t>
            </w:r>
          </w:p>
        </w:tc>
      </w:tr>
      <w:tr w:rsidR="004E5D25" w14:paraId="14E015DA" w14:textId="77777777" w:rsidTr="004E5D25">
        <w:tc>
          <w:tcPr>
            <w:tcW w:w="2605" w:type="dxa"/>
            <w:tcBorders>
              <w:top w:val="single" w:sz="4" w:space="0" w:color="auto"/>
              <w:left w:val="single" w:sz="4" w:space="0" w:color="auto"/>
              <w:bottom w:val="single" w:sz="4" w:space="0" w:color="auto"/>
              <w:right w:val="single" w:sz="4" w:space="0" w:color="auto"/>
            </w:tcBorders>
            <w:hideMark/>
          </w:tcPr>
          <w:p w14:paraId="34CF90D6" w14:textId="77777777" w:rsidR="004E5D25" w:rsidRDefault="004E5D25">
            <w:r>
              <w:t>Elementary/Secondary</w:t>
            </w:r>
          </w:p>
        </w:tc>
        <w:tc>
          <w:tcPr>
            <w:tcW w:w="900" w:type="dxa"/>
            <w:tcBorders>
              <w:top w:val="single" w:sz="4" w:space="0" w:color="auto"/>
              <w:left w:val="single" w:sz="4" w:space="0" w:color="auto"/>
              <w:bottom w:val="single" w:sz="4" w:space="0" w:color="auto"/>
              <w:right w:val="single" w:sz="4" w:space="0" w:color="auto"/>
            </w:tcBorders>
            <w:hideMark/>
          </w:tcPr>
          <w:p w14:paraId="19F43FB4" w14:textId="77777777" w:rsidR="004E5D25" w:rsidRDefault="004E5D25">
            <w:r>
              <w:t>4%</w:t>
            </w:r>
          </w:p>
        </w:tc>
        <w:tc>
          <w:tcPr>
            <w:tcW w:w="1018" w:type="dxa"/>
            <w:tcBorders>
              <w:top w:val="single" w:sz="4" w:space="0" w:color="auto"/>
              <w:left w:val="single" w:sz="4" w:space="0" w:color="auto"/>
              <w:bottom w:val="single" w:sz="4" w:space="0" w:color="auto"/>
              <w:right w:val="single" w:sz="4" w:space="0" w:color="auto"/>
            </w:tcBorders>
            <w:hideMark/>
          </w:tcPr>
          <w:p w14:paraId="4A3CADB0" w14:textId="77777777" w:rsidR="004E5D25" w:rsidRDefault="004E5D25">
            <w:r>
              <w:t>16%</w:t>
            </w:r>
          </w:p>
        </w:tc>
      </w:tr>
      <w:tr w:rsidR="004E5D25" w14:paraId="46F9F208" w14:textId="77777777" w:rsidTr="004E5D25">
        <w:tc>
          <w:tcPr>
            <w:tcW w:w="2605" w:type="dxa"/>
            <w:tcBorders>
              <w:top w:val="single" w:sz="4" w:space="0" w:color="auto"/>
              <w:left w:val="single" w:sz="4" w:space="0" w:color="auto"/>
              <w:bottom w:val="single" w:sz="4" w:space="0" w:color="auto"/>
              <w:right w:val="single" w:sz="4" w:space="0" w:color="auto"/>
            </w:tcBorders>
            <w:hideMark/>
          </w:tcPr>
          <w:p w14:paraId="73B308A9" w14:textId="77777777" w:rsidR="004E5D25" w:rsidRDefault="004E5D25">
            <w:r>
              <w:t>College</w:t>
            </w:r>
          </w:p>
        </w:tc>
        <w:tc>
          <w:tcPr>
            <w:tcW w:w="900" w:type="dxa"/>
            <w:tcBorders>
              <w:top w:val="single" w:sz="4" w:space="0" w:color="auto"/>
              <w:left w:val="single" w:sz="4" w:space="0" w:color="auto"/>
              <w:bottom w:val="single" w:sz="4" w:space="0" w:color="auto"/>
              <w:right w:val="single" w:sz="4" w:space="0" w:color="auto"/>
            </w:tcBorders>
            <w:hideMark/>
          </w:tcPr>
          <w:p w14:paraId="36602BA3" w14:textId="77777777" w:rsidR="004E5D25" w:rsidRDefault="004E5D25">
            <w:r>
              <w:t>13%</w:t>
            </w:r>
          </w:p>
        </w:tc>
        <w:tc>
          <w:tcPr>
            <w:tcW w:w="1018" w:type="dxa"/>
            <w:tcBorders>
              <w:top w:val="single" w:sz="4" w:space="0" w:color="auto"/>
              <w:left w:val="single" w:sz="4" w:space="0" w:color="auto"/>
              <w:bottom w:val="single" w:sz="4" w:space="0" w:color="auto"/>
              <w:right w:val="single" w:sz="4" w:space="0" w:color="auto"/>
            </w:tcBorders>
            <w:hideMark/>
          </w:tcPr>
          <w:p w14:paraId="2276E9F4" w14:textId="77777777" w:rsidR="004E5D25" w:rsidRDefault="004E5D25">
            <w:r>
              <w:t>22%</w:t>
            </w:r>
          </w:p>
        </w:tc>
      </w:tr>
      <w:tr w:rsidR="004E5D25" w14:paraId="36AACF1A" w14:textId="77777777" w:rsidTr="004E5D25">
        <w:tc>
          <w:tcPr>
            <w:tcW w:w="2605" w:type="dxa"/>
            <w:tcBorders>
              <w:top w:val="single" w:sz="4" w:space="0" w:color="auto"/>
              <w:left w:val="single" w:sz="4" w:space="0" w:color="auto"/>
              <w:bottom w:val="single" w:sz="4" w:space="0" w:color="auto"/>
              <w:right w:val="single" w:sz="4" w:space="0" w:color="auto"/>
            </w:tcBorders>
            <w:hideMark/>
          </w:tcPr>
          <w:p w14:paraId="7DC7062D" w14:textId="77777777" w:rsidR="004E5D25" w:rsidRDefault="004E5D25">
            <w:r>
              <w:t>University</w:t>
            </w:r>
          </w:p>
        </w:tc>
        <w:tc>
          <w:tcPr>
            <w:tcW w:w="900" w:type="dxa"/>
            <w:tcBorders>
              <w:top w:val="single" w:sz="4" w:space="0" w:color="auto"/>
              <w:left w:val="single" w:sz="4" w:space="0" w:color="auto"/>
              <w:bottom w:val="single" w:sz="4" w:space="0" w:color="auto"/>
              <w:right w:val="single" w:sz="4" w:space="0" w:color="auto"/>
            </w:tcBorders>
            <w:hideMark/>
          </w:tcPr>
          <w:p w14:paraId="5744F46B" w14:textId="77777777" w:rsidR="004E5D25" w:rsidRDefault="004E5D25">
            <w:r>
              <w:t>83%</w:t>
            </w:r>
          </w:p>
        </w:tc>
        <w:tc>
          <w:tcPr>
            <w:tcW w:w="1018" w:type="dxa"/>
            <w:tcBorders>
              <w:top w:val="single" w:sz="4" w:space="0" w:color="auto"/>
              <w:left w:val="single" w:sz="4" w:space="0" w:color="auto"/>
              <w:bottom w:val="single" w:sz="4" w:space="0" w:color="auto"/>
              <w:right w:val="single" w:sz="4" w:space="0" w:color="auto"/>
            </w:tcBorders>
            <w:hideMark/>
          </w:tcPr>
          <w:p w14:paraId="0B618152" w14:textId="77777777" w:rsidR="004E5D25" w:rsidRDefault="004E5D25">
            <w:r>
              <w:t>61%</w:t>
            </w:r>
          </w:p>
        </w:tc>
      </w:tr>
    </w:tbl>
    <w:p w14:paraId="51D7E7A5" w14:textId="77777777" w:rsidR="004E5D25" w:rsidRDefault="004E5D25" w:rsidP="004E5D25">
      <w:pPr>
        <w:rPr>
          <w:rFonts w:asciiTheme="minorHAnsi" w:hAnsiTheme="minorHAnsi" w:cstheme="minorBidi"/>
          <w:kern w:val="2"/>
          <w:sz w:val="22"/>
          <w:szCs w:val="22"/>
          <w:lang w:val="en-US" w:eastAsia="en-US"/>
          <w14:ligatures w14:val="standardContextual"/>
        </w:rPr>
      </w:pPr>
    </w:p>
    <w:p w14:paraId="62DE7E8E" w14:textId="77777777" w:rsidR="004E5D25" w:rsidRDefault="004E5D25" w:rsidP="004E5D25">
      <w:r>
        <w:t xml:space="preserve">If it FI/Ext were removed from the LOI data, 27,480 students across every SES group would be erased. In addition, 5 single track FI schools and Winchester JK-6 would disappear from the data. Melody Village is a single track FI school and currently ranks 78 on LOI making it a Model School. </w:t>
      </w:r>
    </w:p>
    <w:p w14:paraId="0CA9F0B8" w14:textId="77777777" w:rsidR="004E5D25" w:rsidRDefault="004E5D25" w:rsidP="004E5D25">
      <w:r>
        <w:t>Removal of FI students from the LOI would be interpreted as the TDSB declaring that the FI program serves only above average SES families which is not the case. It would undermine the commitment to the equity work that staff, Trustees and the FSLCAC has done over many years in support of the goal of “equity of access” set out in P080 and inclusion as noted in Ontario Framework for FSL that “participation should reflect the diversity of the student population”.</w:t>
      </w:r>
    </w:p>
    <w:p w14:paraId="6E84823B" w14:textId="77777777" w:rsidR="004E5D25" w:rsidRDefault="004E5D25" w:rsidP="004E5D25">
      <w:r>
        <w:t xml:space="preserve">An inclusive TDSB recognizes and sees all students regardless of their chosen language of instruction. </w:t>
      </w:r>
    </w:p>
    <w:p w14:paraId="6C8504E5" w14:textId="77777777" w:rsidR="004E5D25" w:rsidRDefault="004E5D25" w:rsidP="004E5D25">
      <w:r>
        <w:t>Work needs to continue on breaking down barriers to access and inclusion identified by the FSLCAC in our meetings and annual report and in data collected from students and families during the 2018 French Review:</w:t>
      </w:r>
    </w:p>
    <w:p w14:paraId="4619C1F2" w14:textId="77777777" w:rsidR="004E5D25" w:rsidRDefault="004E5D25" w:rsidP="004E5D25">
      <w:pPr>
        <w:spacing w:after="0"/>
        <w:ind w:left="720"/>
      </w:pPr>
      <w:r>
        <w:t xml:space="preserve">- improving before and after school childcare, </w:t>
      </w:r>
    </w:p>
    <w:p w14:paraId="65324B63" w14:textId="77777777" w:rsidR="004E5D25" w:rsidRDefault="004E5D25" w:rsidP="004E5D25">
      <w:pPr>
        <w:spacing w:after="0"/>
        <w:ind w:left="720"/>
      </w:pPr>
      <w:r>
        <w:t xml:space="preserve">- aligning and simplifying the JK and FI registration process, </w:t>
      </w:r>
    </w:p>
    <w:p w14:paraId="5582F313" w14:textId="77777777" w:rsidR="004E5D25" w:rsidRDefault="004E5D25" w:rsidP="004E5D25">
      <w:pPr>
        <w:spacing w:after="0"/>
        <w:ind w:left="720"/>
      </w:pPr>
      <w:r>
        <w:t>- providing TTC to secondary students in need,</w:t>
      </w:r>
    </w:p>
    <w:p w14:paraId="1BB3FF24" w14:textId="77777777" w:rsidR="004E5D25" w:rsidRDefault="004E5D25" w:rsidP="004E5D25">
      <w:pPr>
        <w:spacing w:after="0"/>
        <w:ind w:left="720"/>
      </w:pPr>
      <w:r>
        <w:t>- continuing to do outreach to and provide additional support to underrepresented groups, particularly students with special education needs,</w:t>
      </w:r>
    </w:p>
    <w:p w14:paraId="634FB662" w14:textId="77777777" w:rsidR="004E5D25" w:rsidRDefault="004E5D25" w:rsidP="004E5D25">
      <w:pPr>
        <w:spacing w:after="0"/>
        <w:ind w:left="720"/>
      </w:pPr>
      <w:r>
        <w:t xml:space="preserve">-French classroom and library resources that are culturally responsive and relevant.  </w:t>
      </w:r>
    </w:p>
    <w:p w14:paraId="1E92EE05" w14:textId="77777777" w:rsidR="004E5D25" w:rsidRDefault="004E5D25">
      <w:pPr>
        <w:spacing w:before="0" w:after="0"/>
        <w:rPr>
          <w:rFonts w:ascii="Calibri" w:eastAsia="Calibri" w:hAnsi="Calibri" w:cs="Calibri"/>
          <w:b/>
          <w:u w:val="single"/>
        </w:rPr>
      </w:pPr>
    </w:p>
    <w:sectPr w:rsidR="004E5D25">
      <w:footerReference w:type="default" r:id="rId15"/>
      <w:pgSz w:w="15840" w:h="12240" w:orient="landscape"/>
      <w:pgMar w:top="851" w:right="1440" w:bottom="85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8BB7" w14:textId="77777777" w:rsidR="00D654BD" w:rsidRDefault="00D654BD">
      <w:pPr>
        <w:spacing w:before="0" w:after="0" w:line="240" w:lineRule="auto"/>
      </w:pPr>
      <w:r>
        <w:separator/>
      </w:r>
    </w:p>
  </w:endnote>
  <w:endnote w:type="continuationSeparator" w:id="0">
    <w:p w14:paraId="371EEECA" w14:textId="77777777" w:rsidR="00D654BD" w:rsidRDefault="00D654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FAD9" w14:textId="77777777" w:rsidR="00051C7D" w:rsidRDefault="00DB2D6A">
    <w:pPr>
      <w:pBdr>
        <w:top w:val="nil"/>
        <w:left w:val="nil"/>
        <w:bottom w:val="nil"/>
        <w:right w:val="nil"/>
        <w:between w:val="nil"/>
      </w:pBdr>
      <w:tabs>
        <w:tab w:val="center" w:pos="4680"/>
        <w:tab w:val="right" w:pos="9360"/>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sidR="00FC7615">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86C0" w14:textId="77777777" w:rsidR="00D654BD" w:rsidRDefault="00D654BD">
      <w:pPr>
        <w:spacing w:before="0" w:after="0" w:line="240" w:lineRule="auto"/>
      </w:pPr>
      <w:r>
        <w:separator/>
      </w:r>
    </w:p>
  </w:footnote>
  <w:footnote w:type="continuationSeparator" w:id="0">
    <w:p w14:paraId="657E5BE5" w14:textId="77777777" w:rsidR="00D654BD" w:rsidRDefault="00D654B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6958"/>
    <w:multiLevelType w:val="hybridMultilevel"/>
    <w:tmpl w:val="9A44CE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7C37147"/>
    <w:multiLevelType w:val="multilevel"/>
    <w:tmpl w:val="E0CA64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A0504F5"/>
    <w:multiLevelType w:val="hybridMultilevel"/>
    <w:tmpl w:val="A2FE6D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3D656E6"/>
    <w:multiLevelType w:val="multilevel"/>
    <w:tmpl w:val="19F67A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EFD304C"/>
    <w:multiLevelType w:val="multilevel"/>
    <w:tmpl w:val="09B49A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132865307">
    <w:abstractNumId w:val="1"/>
  </w:num>
  <w:num w:numId="2" w16cid:durableId="631667934">
    <w:abstractNumId w:val="3"/>
  </w:num>
  <w:num w:numId="3" w16cid:durableId="1368287847">
    <w:abstractNumId w:val="4"/>
  </w:num>
  <w:num w:numId="4" w16cid:durableId="1509054280">
    <w:abstractNumId w:val="2"/>
  </w:num>
  <w:num w:numId="5" w16cid:durableId="78322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7D"/>
    <w:rsid w:val="000035E0"/>
    <w:rsid w:val="000064B1"/>
    <w:rsid w:val="000073E0"/>
    <w:rsid w:val="00015763"/>
    <w:rsid w:val="00015CF1"/>
    <w:rsid w:val="00015E2E"/>
    <w:rsid w:val="000168E7"/>
    <w:rsid w:val="00020ABD"/>
    <w:rsid w:val="00051C7D"/>
    <w:rsid w:val="00056F88"/>
    <w:rsid w:val="000575C5"/>
    <w:rsid w:val="000638F1"/>
    <w:rsid w:val="00073D75"/>
    <w:rsid w:val="000A61ED"/>
    <w:rsid w:val="000C2E80"/>
    <w:rsid w:val="000C3472"/>
    <w:rsid w:val="000D4481"/>
    <w:rsid w:val="000D6689"/>
    <w:rsid w:val="000E20A3"/>
    <w:rsid w:val="000E3746"/>
    <w:rsid w:val="000E5085"/>
    <w:rsid w:val="000F1873"/>
    <w:rsid w:val="000F30AD"/>
    <w:rsid w:val="001018C6"/>
    <w:rsid w:val="00110AA4"/>
    <w:rsid w:val="0011418B"/>
    <w:rsid w:val="00122740"/>
    <w:rsid w:val="00135807"/>
    <w:rsid w:val="00146A60"/>
    <w:rsid w:val="00156E04"/>
    <w:rsid w:val="0016060B"/>
    <w:rsid w:val="0019352E"/>
    <w:rsid w:val="001B6F59"/>
    <w:rsid w:val="001D31E5"/>
    <w:rsid w:val="001E6D7E"/>
    <w:rsid w:val="001F5351"/>
    <w:rsid w:val="0020457B"/>
    <w:rsid w:val="00210933"/>
    <w:rsid w:val="0024175F"/>
    <w:rsid w:val="002429C6"/>
    <w:rsid w:val="00251E60"/>
    <w:rsid w:val="00265A9F"/>
    <w:rsid w:val="00267202"/>
    <w:rsid w:val="002674FE"/>
    <w:rsid w:val="00270FDB"/>
    <w:rsid w:val="00287E68"/>
    <w:rsid w:val="002A41F7"/>
    <w:rsid w:val="002A74F5"/>
    <w:rsid w:val="002D1B0D"/>
    <w:rsid w:val="002D335F"/>
    <w:rsid w:val="002D5D27"/>
    <w:rsid w:val="002D65FE"/>
    <w:rsid w:val="002E3168"/>
    <w:rsid w:val="002E4DB5"/>
    <w:rsid w:val="003070AD"/>
    <w:rsid w:val="00324408"/>
    <w:rsid w:val="00330518"/>
    <w:rsid w:val="0034085C"/>
    <w:rsid w:val="00356625"/>
    <w:rsid w:val="003609EE"/>
    <w:rsid w:val="00374E77"/>
    <w:rsid w:val="0037780B"/>
    <w:rsid w:val="00384E5F"/>
    <w:rsid w:val="003A2B79"/>
    <w:rsid w:val="003A724B"/>
    <w:rsid w:val="003B0A19"/>
    <w:rsid w:val="003E6C24"/>
    <w:rsid w:val="003E7264"/>
    <w:rsid w:val="00413522"/>
    <w:rsid w:val="004210BE"/>
    <w:rsid w:val="0043169E"/>
    <w:rsid w:val="004377A3"/>
    <w:rsid w:val="00457DE7"/>
    <w:rsid w:val="00462A2B"/>
    <w:rsid w:val="0047294F"/>
    <w:rsid w:val="00472D99"/>
    <w:rsid w:val="00474765"/>
    <w:rsid w:val="00483E2D"/>
    <w:rsid w:val="004A0F62"/>
    <w:rsid w:val="004A136B"/>
    <w:rsid w:val="004A6E2F"/>
    <w:rsid w:val="004C3281"/>
    <w:rsid w:val="004C4EF0"/>
    <w:rsid w:val="004E5D25"/>
    <w:rsid w:val="004E63AC"/>
    <w:rsid w:val="004F3CE7"/>
    <w:rsid w:val="00536B83"/>
    <w:rsid w:val="005413F9"/>
    <w:rsid w:val="00560487"/>
    <w:rsid w:val="005617E9"/>
    <w:rsid w:val="0057351A"/>
    <w:rsid w:val="00576718"/>
    <w:rsid w:val="005A547B"/>
    <w:rsid w:val="005A5E17"/>
    <w:rsid w:val="005D0AD4"/>
    <w:rsid w:val="005D3173"/>
    <w:rsid w:val="005D6F83"/>
    <w:rsid w:val="005D6FFF"/>
    <w:rsid w:val="005D777C"/>
    <w:rsid w:val="005E7432"/>
    <w:rsid w:val="00600ABD"/>
    <w:rsid w:val="00611E0B"/>
    <w:rsid w:val="00614776"/>
    <w:rsid w:val="00617B98"/>
    <w:rsid w:val="0062540D"/>
    <w:rsid w:val="00641F4F"/>
    <w:rsid w:val="00653630"/>
    <w:rsid w:val="0065548A"/>
    <w:rsid w:val="0066757A"/>
    <w:rsid w:val="00670725"/>
    <w:rsid w:val="00671C09"/>
    <w:rsid w:val="006723DA"/>
    <w:rsid w:val="00676374"/>
    <w:rsid w:val="00681942"/>
    <w:rsid w:val="006837A6"/>
    <w:rsid w:val="0068658D"/>
    <w:rsid w:val="006C305F"/>
    <w:rsid w:val="006E2962"/>
    <w:rsid w:val="006E29E1"/>
    <w:rsid w:val="006E7D31"/>
    <w:rsid w:val="006F3AC6"/>
    <w:rsid w:val="00702344"/>
    <w:rsid w:val="007117D6"/>
    <w:rsid w:val="007275FA"/>
    <w:rsid w:val="00744B77"/>
    <w:rsid w:val="00756B62"/>
    <w:rsid w:val="00762A29"/>
    <w:rsid w:val="007639D4"/>
    <w:rsid w:val="00763FAB"/>
    <w:rsid w:val="00787207"/>
    <w:rsid w:val="0079358E"/>
    <w:rsid w:val="007A586D"/>
    <w:rsid w:val="007B5492"/>
    <w:rsid w:val="007C6F8E"/>
    <w:rsid w:val="007E4C43"/>
    <w:rsid w:val="007E76B9"/>
    <w:rsid w:val="007F19E4"/>
    <w:rsid w:val="008004E6"/>
    <w:rsid w:val="00801B39"/>
    <w:rsid w:val="0081499A"/>
    <w:rsid w:val="0082660D"/>
    <w:rsid w:val="0083724E"/>
    <w:rsid w:val="00857B7B"/>
    <w:rsid w:val="008652D5"/>
    <w:rsid w:val="008666FA"/>
    <w:rsid w:val="008674D1"/>
    <w:rsid w:val="0087250C"/>
    <w:rsid w:val="00877428"/>
    <w:rsid w:val="008837B3"/>
    <w:rsid w:val="008866B3"/>
    <w:rsid w:val="008945EC"/>
    <w:rsid w:val="00896603"/>
    <w:rsid w:val="008A1DB1"/>
    <w:rsid w:val="008A40B3"/>
    <w:rsid w:val="008B00DA"/>
    <w:rsid w:val="008C5DC7"/>
    <w:rsid w:val="008F18C3"/>
    <w:rsid w:val="008F5CE7"/>
    <w:rsid w:val="0091306E"/>
    <w:rsid w:val="00916F38"/>
    <w:rsid w:val="00923D06"/>
    <w:rsid w:val="0093236B"/>
    <w:rsid w:val="00935A93"/>
    <w:rsid w:val="00936479"/>
    <w:rsid w:val="00973B10"/>
    <w:rsid w:val="00995C23"/>
    <w:rsid w:val="009A2AED"/>
    <w:rsid w:val="009A70F9"/>
    <w:rsid w:val="009A747B"/>
    <w:rsid w:val="009B3A5E"/>
    <w:rsid w:val="009B4446"/>
    <w:rsid w:val="009B4967"/>
    <w:rsid w:val="009B4E67"/>
    <w:rsid w:val="009D420C"/>
    <w:rsid w:val="009D5567"/>
    <w:rsid w:val="009D60E6"/>
    <w:rsid w:val="009E4F0A"/>
    <w:rsid w:val="009F2051"/>
    <w:rsid w:val="009F211A"/>
    <w:rsid w:val="009F638C"/>
    <w:rsid w:val="00A06C00"/>
    <w:rsid w:val="00A17267"/>
    <w:rsid w:val="00A238BE"/>
    <w:rsid w:val="00A24CCD"/>
    <w:rsid w:val="00A27478"/>
    <w:rsid w:val="00A356BC"/>
    <w:rsid w:val="00A4483B"/>
    <w:rsid w:val="00A852A3"/>
    <w:rsid w:val="00AC5DDB"/>
    <w:rsid w:val="00AD05C5"/>
    <w:rsid w:val="00AD1A69"/>
    <w:rsid w:val="00AD5E1F"/>
    <w:rsid w:val="00AD6B94"/>
    <w:rsid w:val="00AE7307"/>
    <w:rsid w:val="00AF0874"/>
    <w:rsid w:val="00B128D6"/>
    <w:rsid w:val="00B2232F"/>
    <w:rsid w:val="00B315D3"/>
    <w:rsid w:val="00B344BF"/>
    <w:rsid w:val="00B418CB"/>
    <w:rsid w:val="00B503C7"/>
    <w:rsid w:val="00B563F5"/>
    <w:rsid w:val="00B65579"/>
    <w:rsid w:val="00B80A86"/>
    <w:rsid w:val="00BA53A1"/>
    <w:rsid w:val="00BB01BA"/>
    <w:rsid w:val="00BB10E4"/>
    <w:rsid w:val="00BB6E23"/>
    <w:rsid w:val="00BC2701"/>
    <w:rsid w:val="00BC73EA"/>
    <w:rsid w:val="00BE1519"/>
    <w:rsid w:val="00BF1530"/>
    <w:rsid w:val="00C30337"/>
    <w:rsid w:val="00C31A1C"/>
    <w:rsid w:val="00C35B40"/>
    <w:rsid w:val="00C37713"/>
    <w:rsid w:val="00C52D11"/>
    <w:rsid w:val="00C706B4"/>
    <w:rsid w:val="00CB08A4"/>
    <w:rsid w:val="00CB54B0"/>
    <w:rsid w:val="00CB71A0"/>
    <w:rsid w:val="00CC6496"/>
    <w:rsid w:val="00CD6F11"/>
    <w:rsid w:val="00CD7AF3"/>
    <w:rsid w:val="00CE2F5D"/>
    <w:rsid w:val="00D05F79"/>
    <w:rsid w:val="00D11292"/>
    <w:rsid w:val="00D556DE"/>
    <w:rsid w:val="00D654BD"/>
    <w:rsid w:val="00D80A0C"/>
    <w:rsid w:val="00D80D4F"/>
    <w:rsid w:val="00D90137"/>
    <w:rsid w:val="00DB2D6A"/>
    <w:rsid w:val="00DC1023"/>
    <w:rsid w:val="00DC465F"/>
    <w:rsid w:val="00DD7D2D"/>
    <w:rsid w:val="00DF0A14"/>
    <w:rsid w:val="00E00D3F"/>
    <w:rsid w:val="00E071D0"/>
    <w:rsid w:val="00E26FAD"/>
    <w:rsid w:val="00E312B2"/>
    <w:rsid w:val="00E613AB"/>
    <w:rsid w:val="00E6789B"/>
    <w:rsid w:val="00E74EBA"/>
    <w:rsid w:val="00E84BD6"/>
    <w:rsid w:val="00E861AF"/>
    <w:rsid w:val="00E9053F"/>
    <w:rsid w:val="00EB5BD2"/>
    <w:rsid w:val="00ED629C"/>
    <w:rsid w:val="00EE1E35"/>
    <w:rsid w:val="00EE3AE3"/>
    <w:rsid w:val="00EE42E2"/>
    <w:rsid w:val="00F22ACA"/>
    <w:rsid w:val="00F313A7"/>
    <w:rsid w:val="00F4573A"/>
    <w:rsid w:val="00F50C53"/>
    <w:rsid w:val="00F55C23"/>
    <w:rsid w:val="00F56B25"/>
    <w:rsid w:val="00F60DD5"/>
    <w:rsid w:val="00F92D58"/>
    <w:rsid w:val="00F945FB"/>
    <w:rsid w:val="00FB6404"/>
    <w:rsid w:val="00FB750C"/>
    <w:rsid w:val="00FB769D"/>
    <w:rsid w:val="00FC3957"/>
    <w:rsid w:val="00FC7615"/>
    <w:rsid w:val="00FD2D6D"/>
    <w:rsid w:val="00FD5D96"/>
    <w:rsid w:val="00FF45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DFEB"/>
  <w15:docId w15:val="{4E3FBE45-F76B-4D62-80BF-FCC904B6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before="12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5760"/>
      </w:tabs>
      <w:spacing w:before="0"/>
      <w:outlineLvl w:val="0"/>
    </w:pPr>
    <w:rPr>
      <w:b/>
    </w:rPr>
  </w:style>
  <w:style w:type="paragraph" w:styleId="Heading2">
    <w:name w:val="heading 2"/>
    <w:basedOn w:val="Normal"/>
    <w:next w:val="Normal"/>
    <w:uiPriority w:val="9"/>
    <w:semiHidden/>
    <w:unhideWhenUsed/>
    <w:qFormat/>
    <w:pPr>
      <w:keepNext/>
      <w:keepLines/>
      <w:shd w:val="clear" w:color="auto" w:fill="FFFFFF"/>
      <w:spacing w:before="240" w:after="0" w:line="240" w:lineRule="auto"/>
      <w:jc w:val="both"/>
      <w:outlineLvl w:val="1"/>
    </w:pPr>
    <w:rPr>
      <w:b/>
    </w:rPr>
  </w:style>
  <w:style w:type="paragraph" w:styleId="Heading3">
    <w:name w:val="heading 3"/>
    <w:basedOn w:val="Normal"/>
    <w:next w:val="Normal"/>
    <w:uiPriority w:val="9"/>
    <w:semiHidden/>
    <w:unhideWhenUsed/>
    <w:qFormat/>
    <w:pPr>
      <w:keepNext/>
      <w:keepLines/>
      <w:outlineLvl w:val="2"/>
    </w:pPr>
  </w:style>
  <w:style w:type="paragraph" w:styleId="Heading4">
    <w:name w:val="heading 4"/>
    <w:basedOn w:val="Normal"/>
    <w:next w:val="Normal"/>
    <w:uiPriority w:val="9"/>
    <w:semiHidden/>
    <w:unhideWhenUsed/>
    <w:qFormat/>
    <w:pPr>
      <w:keepNext/>
      <w:keepLines/>
      <w:spacing w:before="200" w:after="0"/>
      <w:outlineLvl w:val="3"/>
    </w:pPr>
    <w:rPr>
      <w:b/>
      <w:color w:val="365F91"/>
    </w:rPr>
  </w:style>
  <w:style w:type="paragraph" w:styleId="Heading5">
    <w:name w:val="heading 5"/>
    <w:basedOn w:val="Normal"/>
    <w:next w:val="Normal"/>
    <w:uiPriority w:val="9"/>
    <w:semiHidden/>
    <w:unhideWhenUsed/>
    <w:qFormat/>
    <w:pPr>
      <w:keepNext/>
      <w:keepLines/>
      <w:spacing w:before="200" w:after="0"/>
      <w:outlineLvl w:val="4"/>
    </w:pPr>
    <w:rPr>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paragraph" w:styleId="ListParagraph">
    <w:name w:val="List Paragraph"/>
    <w:basedOn w:val="Normal"/>
    <w:uiPriority w:val="34"/>
    <w:qFormat/>
    <w:rsid w:val="00110AA4"/>
    <w:pPr>
      <w:ind w:left="720"/>
      <w:contextualSpacing/>
    </w:pPr>
  </w:style>
  <w:style w:type="character" w:styleId="Hyperlink">
    <w:name w:val="Hyperlink"/>
    <w:basedOn w:val="DefaultParagraphFont"/>
    <w:uiPriority w:val="99"/>
    <w:unhideWhenUsed/>
    <w:rsid w:val="00896603"/>
    <w:rPr>
      <w:color w:val="0000FF" w:themeColor="hyperlink"/>
      <w:u w:val="single"/>
    </w:rPr>
  </w:style>
  <w:style w:type="character" w:styleId="UnresolvedMention">
    <w:name w:val="Unresolved Mention"/>
    <w:basedOn w:val="DefaultParagraphFont"/>
    <w:uiPriority w:val="99"/>
    <w:semiHidden/>
    <w:unhideWhenUsed/>
    <w:rsid w:val="00896603"/>
    <w:rPr>
      <w:color w:val="605E5C"/>
      <w:shd w:val="clear" w:color="auto" w:fill="E1DFDD"/>
    </w:rPr>
  </w:style>
  <w:style w:type="paragraph" w:styleId="Revision">
    <w:name w:val="Revision"/>
    <w:hidden/>
    <w:uiPriority w:val="99"/>
    <w:semiHidden/>
    <w:rsid w:val="008674D1"/>
    <w:pPr>
      <w:spacing w:before="0" w:after="0" w:line="240" w:lineRule="auto"/>
    </w:pPr>
  </w:style>
  <w:style w:type="table" w:styleId="TableGrid">
    <w:name w:val="Table Grid"/>
    <w:basedOn w:val="TableNormal"/>
    <w:uiPriority w:val="39"/>
    <w:rsid w:val="004E5D25"/>
    <w:pPr>
      <w:spacing w:before="0" w:after="0" w:line="240" w:lineRule="auto"/>
    </w:pPr>
    <w:rPr>
      <w:rFonts w:asciiTheme="minorHAnsi" w:eastAsiaTheme="minorHAnsi" w:hAnsiTheme="minorHAnsi" w:cstheme="minorBidi"/>
      <w:kern w:val="2"/>
      <w:sz w:val="22"/>
      <w:szCs w:val="22"/>
      <w:lang w:val="en-US"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21898">
      <w:bodyDiv w:val="1"/>
      <w:marLeft w:val="0"/>
      <w:marRight w:val="0"/>
      <w:marTop w:val="0"/>
      <w:marBottom w:val="0"/>
      <w:divBdr>
        <w:top w:val="none" w:sz="0" w:space="0" w:color="auto"/>
        <w:left w:val="none" w:sz="0" w:space="0" w:color="auto"/>
        <w:bottom w:val="none" w:sz="0" w:space="0" w:color="auto"/>
        <w:right w:val="none" w:sz="0" w:space="0" w:color="auto"/>
      </w:divBdr>
    </w:div>
    <w:div w:id="1122723565">
      <w:bodyDiv w:val="1"/>
      <w:marLeft w:val="0"/>
      <w:marRight w:val="0"/>
      <w:marTop w:val="0"/>
      <w:marBottom w:val="0"/>
      <w:divBdr>
        <w:top w:val="none" w:sz="0" w:space="0" w:color="auto"/>
        <w:left w:val="none" w:sz="0" w:space="0" w:color="auto"/>
        <w:bottom w:val="none" w:sz="0" w:space="0" w:color="auto"/>
        <w:right w:val="none" w:sz="0" w:space="0" w:color="auto"/>
      </w:divBdr>
    </w:div>
    <w:div w:id="1509060038">
      <w:bodyDiv w:val="1"/>
      <w:marLeft w:val="0"/>
      <w:marRight w:val="0"/>
      <w:marTop w:val="0"/>
      <w:marBottom w:val="0"/>
      <w:divBdr>
        <w:top w:val="none" w:sz="0" w:space="0" w:color="auto"/>
        <w:left w:val="none" w:sz="0" w:space="0" w:color="auto"/>
        <w:bottom w:val="none" w:sz="0" w:space="0" w:color="auto"/>
        <w:right w:val="none" w:sz="0" w:space="0" w:color="auto"/>
      </w:divBdr>
    </w:div>
    <w:div w:id="1711614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dsb.on.ca/research/research/learning-opportunities-inde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licies.tdsb.on.ca/detail.aspx?id=234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ies.tdsb.on.ca/Detail.aspx?id=234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tdsb.on.ca/High-School/Secondary-Program-Review"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dsb.on.ca/About-Us/Strategy-Planning/Long-Term-Program-and-Accommodation-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IGlE53ktwjIe0csOyLSRLRJ8w==">CgMxLjAyCGguZ2pkZ3hzMgloLjMwajB6bGw4AHIhMXY3VmlacjZRT1lZbEtSQlR6SzNRUHdTdUJIOEluNWd4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3D568C-D62F-458C-B69C-4D97CF2B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3360</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Jarrett, James</dc:creator>
  <cp:lastModifiedBy>Felsen, Roni</cp:lastModifiedBy>
  <cp:revision>5</cp:revision>
  <dcterms:created xsi:type="dcterms:W3CDTF">2024-05-10T14:33:00Z</dcterms:created>
  <dcterms:modified xsi:type="dcterms:W3CDTF">2024-05-10T18:55:00Z</dcterms:modified>
</cp:coreProperties>
</file>