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58" w:rsidRDefault="00062A58" w:rsidP="00062A58">
      <w:pPr>
        <w:ind w:left="-180"/>
        <w:rPr>
          <w:sz w:val="24"/>
          <w:szCs w:val="24"/>
        </w:rPr>
      </w:pPr>
      <w:r w:rsidRPr="00062A58">
        <w:rPr>
          <w:noProof/>
          <w:sz w:val="24"/>
          <w:szCs w:val="24"/>
          <w:lang w:eastAsia="en-CA"/>
        </w:rPr>
        <w:drawing>
          <wp:anchor distT="0" distB="0" distL="114300" distR="114300" simplePos="0" relativeHeight="251666432" behindDoc="0" locked="0" layoutInCell="1" allowOverlap="1" wp14:anchorId="37630B28" wp14:editId="6DAFBF17">
            <wp:simplePos x="0" y="0"/>
            <wp:positionH relativeFrom="column">
              <wp:posOffset>382270</wp:posOffset>
            </wp:positionH>
            <wp:positionV relativeFrom="paragraph">
              <wp:posOffset>-387350</wp:posOffset>
            </wp:positionV>
            <wp:extent cx="1315720" cy="1226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57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A58">
        <w:rPr>
          <w:noProof/>
          <w:sz w:val="24"/>
          <w:szCs w:val="24"/>
          <w:lang w:eastAsia="en-CA"/>
        </w:rPr>
        <mc:AlternateContent>
          <mc:Choice Requires="wps">
            <w:drawing>
              <wp:anchor distT="0" distB="0" distL="114300" distR="114300" simplePos="0" relativeHeight="251664384" behindDoc="0" locked="0" layoutInCell="1" allowOverlap="1" wp14:anchorId="0A42D317" wp14:editId="40A8C4E4">
                <wp:simplePos x="0" y="0"/>
                <wp:positionH relativeFrom="column">
                  <wp:posOffset>-596265</wp:posOffset>
                </wp:positionH>
                <wp:positionV relativeFrom="paragraph">
                  <wp:posOffset>59690</wp:posOffset>
                </wp:positionV>
                <wp:extent cx="777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7pt" to="1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" strokecolor="#00a360" strokeweight="2pt"/>
            </w:pict>
          </mc:Fallback>
        </mc:AlternateContent>
      </w:r>
      <w:r w:rsidRPr="00062A58">
        <w:rPr>
          <w:noProof/>
          <w:sz w:val="24"/>
          <w:szCs w:val="24"/>
          <w:lang w:eastAsia="en-CA"/>
        </w:rPr>
        <mc:AlternateContent>
          <mc:Choice Requires="wps">
            <w:drawing>
              <wp:anchor distT="0" distB="0" distL="114300" distR="114300" simplePos="0" relativeHeight="251665408" behindDoc="0" locked="0" layoutInCell="1" allowOverlap="1" wp14:anchorId="259626C3" wp14:editId="0C59C8B5">
                <wp:simplePos x="0" y="0"/>
                <wp:positionH relativeFrom="column">
                  <wp:posOffset>1804035</wp:posOffset>
                </wp:positionH>
                <wp:positionV relativeFrom="paragraph">
                  <wp:posOffset>59690</wp:posOffset>
                </wp:positionV>
                <wp:extent cx="4663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05pt,4.7pt" to="50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" strokecolor="#00a360" strokeweight="2pt"/>
            </w:pict>
          </mc:Fallback>
        </mc:AlternateContent>
      </w:r>
      <w:r>
        <w:rPr>
          <w:noProof/>
          <w:sz w:val="24"/>
          <w:szCs w:val="24"/>
          <w:lang w:eastAsia="en-CA"/>
        </w:rPr>
        <mc:AlternateContent>
          <mc:Choice Requires="wps">
            <w:drawing>
              <wp:anchor distT="0" distB="0" distL="114300" distR="114300" simplePos="0" relativeHeight="251662336" behindDoc="0" locked="0" layoutInCell="1" allowOverlap="1" wp14:anchorId="6B756E44" wp14:editId="13140E7B">
                <wp:simplePos x="0" y="0"/>
                <wp:positionH relativeFrom="column">
                  <wp:posOffset>2613660</wp:posOffset>
                </wp:positionH>
                <wp:positionV relativeFrom="paragraph">
                  <wp:posOffset>210185</wp:posOffset>
                </wp:positionV>
                <wp:extent cx="3634740" cy="56007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8pt;margin-top:16.55pt;width:286.2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" stroked="f">
                <v:textbox inset=",0,,.72pt">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v:textbox>
              </v:shape>
            </w:pict>
          </mc:Fallback>
        </mc:AlternateContent>
      </w:r>
      <w:r>
        <w:rPr>
          <w:sz w:val="24"/>
          <w:szCs w:val="24"/>
        </w:rPr>
        <w:tab/>
      </w:r>
    </w:p>
    <w:p w:rsidR="00062A58" w:rsidRDefault="00062A58" w:rsidP="00062A58">
      <w:pPr>
        <w:ind w:left="-180"/>
        <w:rPr>
          <w:sz w:val="24"/>
          <w:szCs w:val="24"/>
        </w:rPr>
      </w:pPr>
    </w:p>
    <w:p w:rsidR="00062A58" w:rsidRDefault="00062A58" w:rsidP="00062A58">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br/>
      </w:r>
      <w:r>
        <w:rPr>
          <w:rFonts w:ascii="Arial" w:eastAsia="Times New Roman" w:hAnsi="Arial" w:cs="Arial"/>
          <w:b/>
          <w:color w:val="auto"/>
          <w:sz w:val="28"/>
          <w:szCs w:val="28"/>
          <w:lang w:val="en-US" w:eastAsia="en-US"/>
        </w:rPr>
        <w:br/>
      </w:r>
      <w:r w:rsidRPr="001463C6">
        <w:rPr>
          <w:rFonts w:ascii="Arial" w:eastAsia="Times New Roman" w:hAnsi="Arial" w:cs="Arial"/>
          <w:b/>
          <w:color w:val="auto"/>
          <w:sz w:val="28"/>
          <w:szCs w:val="28"/>
          <w:lang w:val="en-US" w:eastAsia="en-US"/>
        </w:rPr>
        <w:t>Quest</w:t>
      </w:r>
      <w:r>
        <w:rPr>
          <w:rFonts w:ascii="Arial" w:eastAsia="Times New Roman" w:hAnsi="Arial" w:cs="Arial"/>
          <w:b/>
          <w:color w:val="auto"/>
          <w:sz w:val="28"/>
          <w:szCs w:val="28"/>
          <w:lang w:val="en-US" w:eastAsia="en-US"/>
        </w:rPr>
        <w:t xml:space="preserve">ions and Answers for Trustees </w:t>
      </w:r>
    </w:p>
    <w:p w:rsidR="00485D71" w:rsidRDefault="00062A58" w:rsidP="00AF6157">
      <w:pPr>
        <w:pStyle w:val="Default"/>
        <w:jc w:val="center"/>
        <w:rPr>
          <w:rFonts w:ascii="Arial" w:eastAsia="Times New Roman" w:hAnsi="Arial" w:cs="Arial"/>
          <w:b/>
          <w:color w:val="auto"/>
          <w:sz w:val="28"/>
          <w:szCs w:val="28"/>
          <w:lang w:val="en-US" w:eastAsia="en-US"/>
        </w:rPr>
      </w:pPr>
      <w:r w:rsidRPr="001463C6">
        <w:rPr>
          <w:rFonts w:ascii="Arial" w:eastAsia="Times New Roman" w:hAnsi="Arial" w:cs="Arial"/>
          <w:b/>
          <w:color w:val="auto"/>
          <w:sz w:val="28"/>
          <w:szCs w:val="28"/>
          <w:lang w:val="en-US" w:eastAsia="en-US"/>
        </w:rPr>
        <w:t>TDSB 2019-</w:t>
      </w:r>
      <w:r>
        <w:rPr>
          <w:rFonts w:ascii="Arial" w:eastAsia="Times New Roman" w:hAnsi="Arial" w:cs="Arial"/>
          <w:b/>
          <w:color w:val="auto"/>
          <w:sz w:val="28"/>
          <w:szCs w:val="28"/>
          <w:lang w:val="en-US" w:eastAsia="en-US"/>
        </w:rPr>
        <w:t>20</w:t>
      </w:r>
      <w:r w:rsidRPr="001463C6">
        <w:rPr>
          <w:rFonts w:ascii="Arial" w:eastAsia="Times New Roman" w:hAnsi="Arial" w:cs="Arial"/>
          <w:b/>
          <w:color w:val="auto"/>
          <w:sz w:val="28"/>
          <w:szCs w:val="28"/>
          <w:lang w:val="en-US" w:eastAsia="en-US"/>
        </w:rPr>
        <w:t>20 Proposed Balanced Operating Budget</w:t>
      </w:r>
    </w:p>
    <w:p w:rsidR="002821F6" w:rsidRDefault="00CB69DC" w:rsidP="00AF6157">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t>May 31</w:t>
      </w:r>
      <w:r w:rsidR="002821F6">
        <w:rPr>
          <w:rFonts w:ascii="Arial" w:eastAsia="Times New Roman" w:hAnsi="Arial" w:cs="Arial"/>
          <w:b/>
          <w:color w:val="auto"/>
          <w:sz w:val="28"/>
          <w:szCs w:val="28"/>
          <w:lang w:val="en-US" w:eastAsia="en-US"/>
        </w:rPr>
        <w:t>, 2019</w:t>
      </w:r>
    </w:p>
    <w:p w:rsidR="00556A5E" w:rsidRDefault="00556A5E" w:rsidP="00AF6157">
      <w:pPr>
        <w:pStyle w:val="Default"/>
        <w:jc w:val="center"/>
        <w:rPr>
          <w:rFonts w:ascii="Arial" w:eastAsia="Times New Roman" w:hAnsi="Arial" w:cs="Arial"/>
          <w:b/>
          <w:color w:val="auto"/>
          <w:sz w:val="28"/>
          <w:szCs w:val="28"/>
          <w:lang w:val="en-US" w:eastAsia="en-US"/>
        </w:rPr>
      </w:pP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24"/>
          <w:szCs w:val="24"/>
          <w:lang w:eastAsia="en-CA"/>
        </w:rPr>
        <w:t>1. With respect to the Learning Cent</w:t>
      </w:r>
      <w:r w:rsidR="00D76423">
        <w:rPr>
          <w:rFonts w:ascii="Arial" w:eastAsia="Times New Roman" w:hAnsi="Arial" w:cs="Arial"/>
          <w:b/>
          <w:bCs/>
          <w:color w:val="000000"/>
          <w:sz w:val="24"/>
          <w:szCs w:val="24"/>
          <w:lang w:eastAsia="en-CA"/>
        </w:rPr>
        <w:t>re multi-disciplinary teams, the understanding is that the data</w:t>
      </w:r>
      <w:r w:rsidRPr="00B70AEC">
        <w:rPr>
          <w:rFonts w:ascii="Arial" w:eastAsia="Times New Roman" w:hAnsi="Arial" w:cs="Arial"/>
          <w:b/>
          <w:bCs/>
          <w:color w:val="000000"/>
          <w:sz w:val="24"/>
          <w:szCs w:val="24"/>
          <w:lang w:eastAsia="en-CA"/>
        </w:rPr>
        <w:t xml:space="preserve"> is collected through student census etc</w:t>
      </w:r>
      <w:r w:rsidR="00D76423">
        <w:rPr>
          <w:rFonts w:ascii="Arial" w:eastAsia="Times New Roman" w:hAnsi="Arial" w:cs="Arial"/>
          <w:b/>
          <w:bCs/>
          <w:color w:val="000000"/>
          <w:sz w:val="24"/>
          <w:szCs w:val="24"/>
          <w:lang w:eastAsia="en-CA"/>
        </w:rPr>
        <w:t>.</w:t>
      </w:r>
      <w:r w:rsidRPr="00B70AEC">
        <w:rPr>
          <w:rFonts w:ascii="Arial" w:eastAsia="Times New Roman" w:hAnsi="Arial" w:cs="Arial"/>
          <w:b/>
          <w:bCs/>
          <w:color w:val="000000"/>
          <w:sz w:val="24"/>
          <w:szCs w:val="24"/>
          <w:lang w:eastAsia="en-CA"/>
        </w:rPr>
        <w:t xml:space="preserve"> and th</w:t>
      </w:r>
      <w:r w:rsidR="00D76423">
        <w:rPr>
          <w:rFonts w:ascii="Arial" w:eastAsia="Times New Roman" w:hAnsi="Arial" w:cs="Arial"/>
          <w:b/>
          <w:bCs/>
          <w:color w:val="000000"/>
          <w:sz w:val="24"/>
          <w:szCs w:val="24"/>
          <w:lang w:eastAsia="en-CA"/>
        </w:rPr>
        <w:t>at we cannot delineate which staff have</w:t>
      </w:r>
      <w:r w:rsidRPr="00B70AEC">
        <w:rPr>
          <w:rFonts w:ascii="Arial" w:eastAsia="Times New Roman" w:hAnsi="Arial" w:cs="Arial"/>
          <w:b/>
          <w:bCs/>
          <w:color w:val="000000"/>
          <w:sz w:val="24"/>
          <w:szCs w:val="24"/>
          <w:lang w:eastAsia="en-CA"/>
        </w:rPr>
        <w:t xml:space="preserve"> been successful in helping schools reach their improvement goals. But staff have said that there is data available for the Early Reading Coaches and improvement in reading at grade one levels. Please provide any available data on the successes/challenges of the Early Reading Coaches. </w:t>
      </w:r>
    </w:p>
    <w:p w:rsidR="00B70AEC" w:rsidRPr="00B70AEC" w:rsidRDefault="00B70AEC" w:rsidP="00D76423">
      <w:pPr>
        <w:spacing w:after="0"/>
        <w:rPr>
          <w:rFonts w:ascii="Times New Roman" w:eastAsia="Times New Roman" w:hAnsi="Times New Roman" w:cs="Times New Roman"/>
          <w:sz w:val="24"/>
          <w:szCs w:val="24"/>
          <w:lang w:eastAsia="en-CA"/>
        </w:rPr>
      </w:pPr>
    </w:p>
    <w:p w:rsidR="00B70AEC" w:rsidRPr="00B70AEC" w:rsidRDefault="00D76423" w:rsidP="00D76423">
      <w:pPr>
        <w:spacing w:after="0"/>
        <w:rPr>
          <w:rFonts w:ascii="Times New Roman" w:eastAsia="Times New Roman" w:hAnsi="Times New Roman" w:cs="Times New Roman"/>
          <w:sz w:val="24"/>
          <w:szCs w:val="24"/>
          <w:lang w:eastAsia="en-CA"/>
        </w:rPr>
      </w:pPr>
      <w:r w:rsidRPr="00D76423">
        <w:rPr>
          <w:rFonts w:ascii="Arial" w:eastAsia="Times New Roman" w:hAnsi="Arial" w:cs="Arial"/>
          <w:b/>
          <w:color w:val="000000"/>
          <w:sz w:val="24"/>
          <w:szCs w:val="24"/>
          <w:lang w:eastAsia="en-CA"/>
        </w:rPr>
        <w:t>A</w:t>
      </w:r>
      <w:r>
        <w:rPr>
          <w:rFonts w:ascii="Arial" w:eastAsia="Times New Roman" w:hAnsi="Arial" w:cs="Arial"/>
          <w:b/>
          <w:color w:val="000000"/>
          <w:sz w:val="24"/>
          <w:szCs w:val="24"/>
          <w:lang w:eastAsia="en-CA"/>
        </w:rPr>
        <w:t>nswer:</w:t>
      </w:r>
      <w:r>
        <w:rPr>
          <w:rFonts w:ascii="Arial" w:eastAsia="Times New Roman" w:hAnsi="Arial" w:cs="Arial"/>
          <w:color w:val="000000"/>
          <w:sz w:val="24"/>
          <w:szCs w:val="24"/>
          <w:lang w:eastAsia="en-CA"/>
        </w:rPr>
        <w:t xml:space="preserve"> </w:t>
      </w:r>
      <w:r w:rsidR="00B70AEC" w:rsidRPr="00B70AEC">
        <w:rPr>
          <w:rFonts w:ascii="Arial" w:eastAsia="Times New Roman" w:hAnsi="Arial" w:cs="Arial"/>
          <w:color w:val="000000"/>
          <w:sz w:val="24"/>
          <w:szCs w:val="24"/>
          <w:lang w:eastAsia="en-CA"/>
        </w:rPr>
        <w:t>The recent Early Literacy Report outlines the supports, school achievement and next steps to achieve the goals/actions in the Multi-Year Strategic Action Plan related to Early Literacy. The report states that 80% of schools have improved in their Grade 1 and Grade 2 Reading Report Card Data.</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shd w:val="clear" w:color="auto" w:fill="FFFFFF"/>
          <w:lang w:eastAsia="en-CA"/>
        </w:rPr>
        <w:t xml:space="preserve">Overall many of </w:t>
      </w:r>
      <w:r w:rsidRPr="00B70AEC">
        <w:rPr>
          <w:rFonts w:ascii="Arial" w:eastAsia="Times New Roman" w:hAnsi="Arial" w:cs="Arial"/>
          <w:color w:val="000000"/>
          <w:sz w:val="24"/>
          <w:szCs w:val="24"/>
          <w:lang w:eastAsia="en-CA"/>
        </w:rPr>
        <w:t xml:space="preserve">these schools have had access to either an Early Reading Coach and/or K-12 Learning Coach which may demonstrate a link between the coaching support and achievement but cannot be interpreted as the reason for the improvement. </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K-12 Coach: 62%</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ERC: 50%</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Both ERC and K-12 Coach: 39%</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 xml:space="preserve">Coaching assignments are determined by superintendents, central principals through communicating with principals about the school’s needs. Assignments change periodically and not all schools need or require a coach. Schools may also have early reading interventions (e.g., Levelled Literacy) in place. A list of possible interventions can be found in the Early Literacy Report. </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 xml:space="preserve">The chart below shows the schools that have improved in the area of early reading. </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p>
    <w:p w:rsidR="00B70AEC" w:rsidRPr="00D76423" w:rsidRDefault="00B70AEC" w:rsidP="00FF0AC8">
      <w:pPr>
        <w:spacing w:after="0" w:line="240" w:lineRule="auto"/>
        <w:jc w:val="center"/>
        <w:rPr>
          <w:rFonts w:ascii="Times New Roman" w:eastAsia="Times New Roman" w:hAnsi="Times New Roman" w:cs="Times New Roman"/>
          <w:sz w:val="20"/>
          <w:szCs w:val="20"/>
          <w:lang w:eastAsia="en-CA"/>
        </w:rPr>
      </w:pPr>
      <w:r w:rsidRPr="00D76423">
        <w:rPr>
          <w:rFonts w:ascii="Arial" w:eastAsia="Times New Roman" w:hAnsi="Arial" w:cs="Arial"/>
          <w:b/>
          <w:bCs/>
          <w:color w:val="000000"/>
          <w:sz w:val="20"/>
          <w:szCs w:val="20"/>
          <w:lang w:eastAsia="en-CA"/>
        </w:rPr>
        <w:t>Improved Achievement from Grade 1 to Grade 2 Reading Report Card Data</w:t>
      </w:r>
    </w:p>
    <w:p w:rsidR="00B70AEC" w:rsidRPr="00D76423" w:rsidRDefault="00B70AEC" w:rsidP="00FF0AC8">
      <w:pPr>
        <w:spacing w:after="0" w:line="240" w:lineRule="auto"/>
        <w:jc w:val="center"/>
        <w:rPr>
          <w:rFonts w:ascii="Times New Roman" w:eastAsia="Times New Roman" w:hAnsi="Times New Roman" w:cs="Times New Roman"/>
          <w:sz w:val="20"/>
          <w:szCs w:val="20"/>
          <w:lang w:eastAsia="en-CA"/>
        </w:rPr>
      </w:pPr>
      <w:r w:rsidRPr="00D76423">
        <w:rPr>
          <w:rFonts w:ascii="Arial" w:eastAsia="Times New Roman" w:hAnsi="Arial" w:cs="Arial"/>
          <w:b/>
          <w:bCs/>
          <w:color w:val="000000"/>
          <w:sz w:val="20"/>
          <w:szCs w:val="20"/>
          <w:lang w:eastAsia="en-CA"/>
        </w:rPr>
        <w:t>Learning Centre/Learning Network/School Name</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Braeburn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Briarcrest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Broadacres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Eatonville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Elmlea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Mill Valley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Millwood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Rivercrest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The Elms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Wedgewood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LN01    West Glen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Beaumonde Heights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Elmbank Jr. Mid. A.</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Humber Valley Village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Kingsview Village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Melody Village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Princess Margaret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Rosethorn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St George's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LN02    Westmount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Bala Avenue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BrookhavenPS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Dixon Grove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George AndersonPS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GracefieldPS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H J Alexander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Maple Leaf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Pelmo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Valleyfield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Weston Memorial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LN03    Westway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Baycrest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Charles E Webster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Dennis Avenue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Fairbank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Flemington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Glen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JoycePS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Keelesdale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Ledbury Park Ele. &amp; Mid.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Roselands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LN04    Silverthorn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Brown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Cedarvale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Cottingham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Deer Park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Hillcrest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Humewood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J R Wilcox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McMurrich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LC1    LN05    North Preparatory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LC1    LN05    Oriole Park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Thorncliffe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LN05    West Preparatory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Armour Heights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Bedford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Bennington Heights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Bessborough Drive Ele. &amp; Mid. 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LC1    LN06    Blythwood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LC1    LN06    Davisville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Denlow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Eglinton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John Ross Robertson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LC1    LN06    John Wanless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LC1    LN06    Maurice Cody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Northlea Ele. &amp; Mid.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LN06    Rolph Road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LN25    Highfield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LN25    John D Parker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LN26    Dunlace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LN26    Harrison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LC1    LN26    Owen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Derrydown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Firgrove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Highland Heights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LC2    LN07    Inglewood Heights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LN07    Lamberton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LC2    LN07    Pauline Johnson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Stanley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Stilecroft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Tam O'Shanter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LN07    Tumpane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Arbor Glen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Cameron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Churchill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Cresthaven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Elkhorn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Hillmount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Pineway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Rockford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Steelesview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LN08    Wilmington Ele. 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LC2    LN09    Beverly Glen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LN09    Brian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LN09    Brookmill Boulevard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LC2    LN09    Chester Le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Ernest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Greenland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Muirhead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Norman Ingram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Rene Gordon Health and Wellness A.</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Shaughnessy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LN09    Three Valleys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LN09    Victoria Village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LN10    Bridlewood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LN10    Cassandra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LN10    David Lewis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LN10    Fairglen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LN10    Grenoble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LN10    Kennedy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LN10    Lynnwood Heights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LC2    LN10    North Bridlewood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LN10    Ranchdale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LC2    LN10    Sir Samuel B Steele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LC2    LN10    Vradenburg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Crestview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Dallington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Daystrom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Fenside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Forest Manor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Gracedale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Gulfstream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Kingslake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Lescon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Seneca Hill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LN11    Sheppard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Ancaster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Blaydon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Faywood Arts-Based Cur.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Finch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Highview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Hollywood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Lillian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McKee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R J Lang Ele. &amp; Mid.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Summit HeightsPS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LN12    Yorkview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LN27    Blacksmith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LN27    Chalkfarm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LN27    Gosford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LN27    Shoreham Public Sports and Wellness A.</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LC2    LN27    Yorkwoods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LC3    LN13    Bellmere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LC3    LN13    Bendale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Donwood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Edgewood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George B Little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LC3    LN13    Glen Ravine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Heather Heights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Hunter's Glen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Knob Hill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North Bendale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St Andrews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LN13    Woburn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Berner Trail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LC3    LN14    Burrows Hall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LC3    LN14    C D Farquharson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Fleming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Grey Owl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Heritage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Lucy Maud Montgomery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Milliken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LC3    LN14    North Agincourt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LC3    LN14    Port Royal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LN14    White Haven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Alexander Stirling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Alvin Curling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Cedarbrook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Chief Dan George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Galloway Road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Golf Road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Highcastle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John G Diefenbaker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Meadowvale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Military Trail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Morrish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Rouge Valley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LN15    St Margaret's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Centennial Road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Charlottetown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Eastview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George P Mackie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Guildwood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Joseph Brant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Poplar Road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Scarborough Village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LN16    William G Miller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LC3    LN17    Agnes Macphail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LC3    LN17    Anson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Anson S Taylor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Banting and Best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Brimwood Boulevard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LC3    LN17    Chartland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LC3    LN17    Chine Drive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Dorset Park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Ellesmere-Statton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Fairmount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General Crerar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Glamorgan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H A Halbert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Ionview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Iroquois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John A LesliePS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Macklin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LN17    Percy Williams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Birch Cliff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Blantyre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Buchanan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Cliffside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Courcelette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George Peck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J G Workman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John McCrae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Manhattan Park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Maryvale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Norman Cook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Oakridge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Terraview-WillowfieldPS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Walter Perry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LN18    Wexford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LN28    Clairlea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LN28    Danforth Gardens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LN28    General Brock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LC3    LN28    Regent Heights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David Hornell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LN19    Garden Avenue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George R Gauld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Howard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James S Bell Jr. Mid. Sports &amp; Wellness A.</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John English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Keele Street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LN19    Lambton-Kingsway Jr. </w:t>
      </w:r>
      <w:r w:rsidRPr="00B70AEC">
        <w:rPr>
          <w:rFonts w:ascii="Arial" w:eastAsia="Times New Roman" w:hAnsi="Arial" w:cs="Arial"/>
          <w:b/>
          <w:bCs/>
          <w:color w:val="000000"/>
          <w:sz w:val="16"/>
          <w:szCs w:val="16"/>
          <w:lang w:val="fr-CA" w:eastAsia="en-CA"/>
        </w:rPr>
        <w:t>MS</w:t>
      </w:r>
    </w:p>
    <w:p w:rsidR="00B70AEC" w:rsidRPr="009E66B0"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LN19    Parkdale Jr. </w:t>
      </w:r>
      <w:r w:rsidRPr="009E66B0">
        <w:rPr>
          <w:rFonts w:ascii="Arial" w:eastAsia="Times New Roman" w:hAnsi="Arial" w:cs="Arial"/>
          <w:b/>
          <w:bCs/>
          <w:color w:val="000000"/>
          <w:sz w:val="16"/>
          <w:szCs w:val="16"/>
          <w:lang w:eastAsia="en-CA"/>
        </w:rPr>
        <w:t>&amp;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Runnymede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Second Street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Seventh Street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Sir Adam Beck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LN19    Twentieth Street Jr. 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LN20    Annette Street Jr. &amp; Sr.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LN20    Étienne Brûlé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F H Miller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Fairbank Memorial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High Park Alternative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Humbercrest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Indian Road Crescent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Islington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King George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Park Lawn Jr. MS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Rawlinson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Regal Road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LN20    Sunnylea Jr. 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LN20    Warren Park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LN21    Brock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LN21    Charles G Fraser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Clinton Street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LN21    Dewson Street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LN21    Dovercourt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LN21    Essex Jr. </w:t>
      </w:r>
      <w:r w:rsidRPr="00B70AEC">
        <w:rPr>
          <w:rFonts w:ascii="Arial" w:eastAsia="Times New Roman" w:hAnsi="Arial" w:cs="Arial"/>
          <w:b/>
          <w:bCs/>
          <w:color w:val="000000"/>
          <w:sz w:val="16"/>
          <w:szCs w:val="16"/>
          <w:lang w:eastAsia="en-CA"/>
        </w:rPr>
        <w:t>&amp;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Givins/Shaw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Hawthorne II Bilingual Alternative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Kensington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Montrose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Niagara Street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LN21    Ossington/Old Orchard Jr. </w:t>
      </w:r>
      <w:r w:rsidRPr="00B70AEC">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LN21    Palmerston Avenue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LN21    Pauline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Perth Avenue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LN21    Shirley Street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Downtown Alt.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Frankland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Island Public/Natural Sci.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Jackman Avenue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LN22    King Edward Jr. </w:t>
      </w:r>
      <w:r w:rsidRPr="00B70AEC">
        <w:rPr>
          <w:rFonts w:ascii="Arial" w:eastAsia="Times New Roman" w:hAnsi="Arial" w:cs="Arial"/>
          <w:b/>
          <w:bCs/>
          <w:color w:val="000000"/>
          <w:sz w:val="16"/>
          <w:szCs w:val="16"/>
          <w:lang w:val="fr-CA" w:eastAsia="en-CA"/>
        </w:rPr>
        <w:t>&amp; Sr.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LN22    Lord Dufferin Jr. &amp; Sr.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val="fr-CA" w:eastAsia="en-CA"/>
        </w:rPr>
        <w:t>LC4    LN22    Nelson Mandela ParkPS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Ogden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Orde Street PS</w:t>
      </w:r>
    </w:p>
    <w:p w:rsidR="00B70AEC" w:rsidRPr="009E66B0" w:rsidRDefault="00B70AEC" w:rsidP="00B70AEC">
      <w:pPr>
        <w:spacing w:after="0" w:line="240" w:lineRule="auto"/>
        <w:rPr>
          <w:rFonts w:ascii="Times New Roman" w:eastAsia="Times New Roman" w:hAnsi="Times New Roman" w:cs="Times New Roman"/>
          <w:sz w:val="24"/>
          <w:szCs w:val="24"/>
          <w:lang w:val="fr-CA" w:eastAsia="en-CA"/>
        </w:rPr>
      </w:pPr>
      <w:r w:rsidRPr="009E66B0">
        <w:rPr>
          <w:rFonts w:ascii="Arial" w:eastAsia="Times New Roman" w:hAnsi="Arial" w:cs="Arial"/>
          <w:b/>
          <w:bCs/>
          <w:color w:val="000000"/>
          <w:sz w:val="16"/>
          <w:szCs w:val="16"/>
          <w:lang w:val="fr-CA" w:eastAsia="en-CA"/>
        </w:rPr>
        <w:t xml:space="preserve">LC4    LN22    </w:t>
      </w:r>
      <w:proofErr w:type="spellStart"/>
      <w:r w:rsidRPr="009E66B0">
        <w:rPr>
          <w:rFonts w:ascii="Arial" w:eastAsia="Times New Roman" w:hAnsi="Arial" w:cs="Arial"/>
          <w:b/>
          <w:bCs/>
          <w:color w:val="000000"/>
          <w:sz w:val="16"/>
          <w:szCs w:val="16"/>
          <w:lang w:val="fr-CA" w:eastAsia="en-CA"/>
        </w:rPr>
        <w:t>Rosedale</w:t>
      </w:r>
      <w:proofErr w:type="spellEnd"/>
      <w:r w:rsidRPr="009E66B0">
        <w:rPr>
          <w:rFonts w:ascii="Arial" w:eastAsia="Times New Roman" w:hAnsi="Arial" w:cs="Arial"/>
          <w:b/>
          <w:bCs/>
          <w:color w:val="000000"/>
          <w:sz w:val="16"/>
          <w:szCs w:val="16"/>
          <w:lang w:val="fr-CA" w:eastAsia="en-CA"/>
        </w:rPr>
        <w:t xml:space="preserve"> Jr. PS</w:t>
      </w:r>
    </w:p>
    <w:p w:rsidR="00B70AEC" w:rsidRPr="009E66B0" w:rsidRDefault="00B70AEC" w:rsidP="00B70AEC">
      <w:pPr>
        <w:spacing w:after="0" w:line="240" w:lineRule="auto"/>
        <w:rPr>
          <w:rFonts w:ascii="Times New Roman" w:eastAsia="Times New Roman" w:hAnsi="Times New Roman" w:cs="Times New Roman"/>
          <w:sz w:val="24"/>
          <w:szCs w:val="24"/>
          <w:lang w:val="fr-CA" w:eastAsia="en-CA"/>
        </w:rPr>
      </w:pPr>
      <w:r w:rsidRPr="009E66B0">
        <w:rPr>
          <w:rFonts w:ascii="Arial" w:eastAsia="Times New Roman" w:hAnsi="Arial" w:cs="Arial"/>
          <w:b/>
          <w:bCs/>
          <w:color w:val="000000"/>
          <w:sz w:val="16"/>
          <w:szCs w:val="16"/>
          <w:lang w:val="fr-CA" w:eastAsia="en-CA"/>
        </w:rPr>
        <w:t xml:space="preserve">LC4    LN22    </w:t>
      </w:r>
      <w:proofErr w:type="spellStart"/>
      <w:r w:rsidRPr="009E66B0">
        <w:rPr>
          <w:rFonts w:ascii="Arial" w:eastAsia="Times New Roman" w:hAnsi="Arial" w:cs="Arial"/>
          <w:b/>
          <w:bCs/>
          <w:color w:val="000000"/>
          <w:sz w:val="16"/>
          <w:szCs w:val="16"/>
          <w:lang w:val="fr-CA" w:eastAsia="en-CA"/>
        </w:rPr>
        <w:t>Ryerson</w:t>
      </w:r>
      <w:proofErr w:type="spellEnd"/>
      <w:r w:rsidRPr="009E66B0">
        <w:rPr>
          <w:rFonts w:ascii="Arial" w:eastAsia="Times New Roman" w:hAnsi="Arial" w:cs="Arial"/>
          <w:b/>
          <w:bCs/>
          <w:color w:val="000000"/>
          <w:sz w:val="16"/>
          <w:szCs w:val="16"/>
          <w:lang w:val="fr-CA" w:eastAsia="en-CA"/>
        </w:rPr>
        <w:t xml:space="preserve"> Com. S.</w:t>
      </w:r>
    </w:p>
    <w:p w:rsidR="00B70AEC" w:rsidRPr="009E66B0" w:rsidRDefault="00B70AEC" w:rsidP="00B70AEC">
      <w:pPr>
        <w:spacing w:after="0" w:line="240" w:lineRule="auto"/>
        <w:rPr>
          <w:rFonts w:ascii="Times New Roman" w:eastAsia="Times New Roman" w:hAnsi="Times New Roman" w:cs="Times New Roman"/>
          <w:sz w:val="24"/>
          <w:szCs w:val="24"/>
          <w:lang w:val="fr-CA" w:eastAsia="en-CA"/>
        </w:rPr>
      </w:pPr>
      <w:r w:rsidRPr="009E66B0">
        <w:rPr>
          <w:rFonts w:ascii="Arial" w:eastAsia="Times New Roman" w:hAnsi="Arial" w:cs="Arial"/>
          <w:b/>
          <w:bCs/>
          <w:color w:val="000000"/>
          <w:sz w:val="16"/>
          <w:szCs w:val="16"/>
          <w:lang w:val="fr-CA" w:eastAsia="en-CA"/>
        </w:rPr>
        <w:t xml:space="preserve">LC4    LN22    </w:t>
      </w:r>
      <w:proofErr w:type="spellStart"/>
      <w:r w:rsidRPr="009E66B0">
        <w:rPr>
          <w:rFonts w:ascii="Arial" w:eastAsia="Times New Roman" w:hAnsi="Arial" w:cs="Arial"/>
          <w:b/>
          <w:bCs/>
          <w:color w:val="000000"/>
          <w:sz w:val="16"/>
          <w:szCs w:val="16"/>
          <w:lang w:val="fr-CA" w:eastAsia="en-CA"/>
        </w:rPr>
        <w:t>Sprucecourt</w:t>
      </w:r>
      <w:proofErr w:type="spellEnd"/>
      <w:r w:rsidRPr="009E66B0">
        <w:rPr>
          <w:rFonts w:ascii="Arial" w:eastAsia="Times New Roman" w:hAnsi="Arial" w:cs="Arial"/>
          <w:b/>
          <w:bCs/>
          <w:color w:val="000000"/>
          <w:sz w:val="16"/>
          <w:szCs w:val="16"/>
          <w:lang w:val="fr-CA" w:eastAsia="en-CA"/>
        </w:rPr>
        <w:t xml:space="preserv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 xml:space="preserve">LC4    LN22    </w:t>
      </w:r>
      <w:proofErr w:type="gramStart"/>
      <w:r w:rsidRPr="00B70AEC">
        <w:rPr>
          <w:rFonts w:ascii="Arial" w:eastAsia="Times New Roman" w:hAnsi="Arial" w:cs="Arial"/>
          <w:b/>
          <w:bCs/>
          <w:color w:val="000000"/>
          <w:sz w:val="16"/>
          <w:szCs w:val="16"/>
          <w:lang w:eastAsia="en-CA"/>
        </w:rPr>
        <w:t>The</w:t>
      </w:r>
      <w:proofErr w:type="gramEnd"/>
      <w:r w:rsidRPr="00B70AEC">
        <w:rPr>
          <w:rFonts w:ascii="Arial" w:eastAsia="Times New Roman" w:hAnsi="Arial" w:cs="Arial"/>
          <w:b/>
          <w:bCs/>
          <w:color w:val="000000"/>
          <w:sz w:val="16"/>
          <w:szCs w:val="16"/>
          <w:lang w:eastAsia="en-CA"/>
        </w:rPr>
        <w:t xml:space="preserve"> Waterfront School</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Whitney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LN22    Withrow Avenue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Adam Beck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Balmy Beach Com.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Beaches Alternative Jr.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Blake Street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Bowmore Road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Bruce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Duke of Connaught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Earl Haig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Equinox Holistic Alt.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Kew Beach Jr. PS</w:t>
      </w:r>
    </w:p>
    <w:p w:rsidR="00B70AEC" w:rsidRPr="00B70AEC"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LN23    Kimberley Jr. </w:t>
      </w:r>
      <w:r w:rsidRPr="00B70AEC">
        <w:rPr>
          <w:rFonts w:ascii="Arial" w:eastAsia="Times New Roman" w:hAnsi="Arial" w:cs="Arial"/>
          <w:b/>
          <w:bCs/>
          <w:color w:val="000000"/>
          <w:sz w:val="16"/>
          <w:szCs w:val="16"/>
          <w:lang w:val="fr-CA" w:eastAsia="en-CA"/>
        </w:rPr>
        <w:t>PS</w:t>
      </w:r>
    </w:p>
    <w:p w:rsidR="00B70AEC" w:rsidRPr="009E66B0"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val="fr-CA" w:eastAsia="en-CA"/>
        </w:rPr>
        <w:t xml:space="preserve">LC4    LN23    Leslieville Jr. </w:t>
      </w:r>
      <w:r w:rsidRPr="009E66B0">
        <w:rPr>
          <w:rFonts w:ascii="Arial" w:eastAsia="Times New Roman" w:hAnsi="Arial" w:cs="Arial"/>
          <w:b/>
          <w:bCs/>
          <w:color w:val="000000"/>
          <w:sz w:val="16"/>
          <w:szCs w:val="16"/>
          <w:lang w:eastAsia="en-CA"/>
        </w:rPr>
        <w:t>PS</w:t>
      </w:r>
    </w:p>
    <w:p w:rsidR="00B70AEC" w:rsidRPr="009E66B0" w:rsidRDefault="00B70AEC" w:rsidP="00B70AEC">
      <w:pPr>
        <w:spacing w:after="0" w:line="240" w:lineRule="auto"/>
        <w:rPr>
          <w:rFonts w:ascii="Times New Roman" w:eastAsia="Times New Roman" w:hAnsi="Times New Roman" w:cs="Times New Roman"/>
          <w:sz w:val="24"/>
          <w:szCs w:val="24"/>
          <w:lang w:val="fr-CA" w:eastAsia="en-CA"/>
        </w:rPr>
      </w:pPr>
      <w:r w:rsidRPr="00B70AEC">
        <w:rPr>
          <w:rFonts w:ascii="Arial" w:eastAsia="Times New Roman" w:hAnsi="Arial" w:cs="Arial"/>
          <w:b/>
          <w:bCs/>
          <w:color w:val="000000"/>
          <w:sz w:val="16"/>
          <w:szCs w:val="16"/>
          <w:lang w:eastAsia="en-CA"/>
        </w:rPr>
        <w:t xml:space="preserve">LC4    LN23    Norway Jr. </w:t>
      </w:r>
      <w:r w:rsidRPr="009E66B0">
        <w:rPr>
          <w:rFonts w:ascii="Arial" w:eastAsia="Times New Roman" w:hAnsi="Arial" w:cs="Arial"/>
          <w:b/>
          <w:bCs/>
          <w:color w:val="000000"/>
          <w:sz w:val="16"/>
          <w:szCs w:val="16"/>
          <w:lang w:val="fr-CA"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9E66B0">
        <w:rPr>
          <w:rFonts w:ascii="Arial" w:eastAsia="Times New Roman" w:hAnsi="Arial" w:cs="Arial"/>
          <w:b/>
          <w:bCs/>
          <w:color w:val="000000"/>
          <w:sz w:val="16"/>
          <w:szCs w:val="16"/>
          <w:lang w:val="fr-CA" w:eastAsia="en-CA"/>
        </w:rPr>
        <w:t xml:space="preserve">LC4    LN23    Pape Avenue Jr. </w:t>
      </w:r>
      <w:r w:rsidRPr="00B70AEC">
        <w:rPr>
          <w:rFonts w:ascii="Arial" w:eastAsia="Times New Roman" w:hAnsi="Arial" w:cs="Arial"/>
          <w:b/>
          <w:bCs/>
          <w:color w:val="000000"/>
          <w:sz w:val="16"/>
          <w:szCs w:val="16"/>
          <w:lang w:eastAsia="en-CA"/>
        </w:rPr>
        <w:t>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Roden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LN23    Williamson Road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Diefenbaker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Earl Beatty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George Webster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Gledhill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O'Connor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R H McGregor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Secord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Victoria Park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Wilkinson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LN24    William Burgess Ele. 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LN29    Jesse Ketchum Jr. &amp; Sr.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LN29    Rose Avenue Jr. PS</w:t>
      </w:r>
    </w:p>
    <w:p w:rsidR="00B70AEC" w:rsidRPr="00B70AEC" w:rsidRDefault="00B70AEC" w:rsidP="00B70AEC">
      <w:pPr>
        <w:spacing w:after="0" w:line="240" w:lineRule="auto"/>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6"/>
          <w:szCs w:val="16"/>
          <w:lang w:eastAsia="en-CA"/>
        </w:rPr>
        <w:t>LC4    LN29    Winchester Jr. &amp; Sr. PS</w:t>
      </w:r>
    </w:p>
    <w:p w:rsidR="00B70AEC" w:rsidRDefault="00B70AEC" w:rsidP="00B70AEC">
      <w:pPr>
        <w:spacing w:after="0" w:line="240" w:lineRule="auto"/>
        <w:rPr>
          <w:rFonts w:ascii="Times New Roman" w:eastAsia="Times New Roman" w:hAnsi="Times New Roman" w:cs="Times New Roman"/>
          <w:sz w:val="24"/>
          <w:szCs w:val="24"/>
          <w:lang w:eastAsia="en-CA"/>
        </w:rPr>
      </w:pPr>
    </w:p>
    <w:p w:rsidR="00B560DF" w:rsidRPr="00B560DF" w:rsidRDefault="00344962" w:rsidP="00B560DF">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2</w:t>
      </w:r>
      <w:r w:rsidR="00B560DF">
        <w:rPr>
          <w:rFonts w:ascii="Arial" w:eastAsia="Times New Roman" w:hAnsi="Arial" w:cs="Arial"/>
          <w:b/>
          <w:bCs/>
          <w:color w:val="000000"/>
          <w:sz w:val="24"/>
          <w:szCs w:val="24"/>
          <w:lang w:eastAsia="en-CA"/>
        </w:rPr>
        <w:t xml:space="preserve">. </w:t>
      </w:r>
      <w:r w:rsidR="00B560DF" w:rsidRPr="00B560DF">
        <w:rPr>
          <w:rFonts w:ascii="Arial" w:eastAsia="Times New Roman" w:hAnsi="Arial" w:cs="Arial"/>
          <w:b/>
          <w:bCs/>
          <w:color w:val="000000"/>
          <w:sz w:val="24"/>
          <w:szCs w:val="24"/>
          <w:lang w:eastAsia="en-CA"/>
        </w:rPr>
        <w:t xml:space="preserve">If the TDSB does not pay the $405,000 association fee to be an OPSBA member, do we forfeit our ability to be part of the central bargaining process? The Q&amp;A provided on May 30 indicated that that is the case. </w:t>
      </w:r>
    </w:p>
    <w:p w:rsidR="00B560DF" w:rsidRPr="00B560DF" w:rsidRDefault="00B560DF" w:rsidP="00B560DF">
      <w:pPr>
        <w:spacing w:after="0" w:line="240" w:lineRule="auto"/>
        <w:rPr>
          <w:rFonts w:ascii="Times New Roman" w:eastAsia="Times New Roman" w:hAnsi="Times New Roman" w:cs="Times New Roman"/>
          <w:sz w:val="24"/>
          <w:szCs w:val="24"/>
          <w:lang w:eastAsia="en-CA"/>
        </w:rPr>
      </w:pPr>
    </w:p>
    <w:p w:rsidR="00D76423" w:rsidRDefault="00B560DF" w:rsidP="00B70AEC">
      <w:pPr>
        <w:spacing w:after="0" w:line="240" w:lineRule="auto"/>
        <w:rPr>
          <w:rFonts w:ascii="Arial" w:eastAsia="Times New Roman" w:hAnsi="Arial" w:cs="Arial"/>
          <w:color w:val="000000"/>
          <w:sz w:val="24"/>
          <w:szCs w:val="24"/>
          <w:lang w:eastAsia="en-CA"/>
        </w:rPr>
      </w:pPr>
      <w:r w:rsidRPr="00B560DF">
        <w:rPr>
          <w:rFonts w:ascii="Arial" w:eastAsia="Times New Roman" w:hAnsi="Arial" w:cs="Arial"/>
          <w:b/>
          <w:bCs/>
          <w:color w:val="000000"/>
          <w:sz w:val="24"/>
          <w:szCs w:val="24"/>
          <w:lang w:eastAsia="en-CA"/>
        </w:rPr>
        <w:t xml:space="preserve">Answer: </w:t>
      </w:r>
      <w:r w:rsidRPr="00B560DF">
        <w:rPr>
          <w:rFonts w:ascii="Arial" w:eastAsia="Times New Roman" w:hAnsi="Arial" w:cs="Arial"/>
          <w:color w:val="000000"/>
          <w:sz w:val="24"/>
          <w:szCs w:val="24"/>
          <w:lang w:eastAsia="en-CA"/>
        </w:rPr>
        <w:t>TDSB if funded for the costs of OPSBA negotiation expenses of approximately $43,000, which in turn is paid to OPSBA.  This is the legislated amount to be paid by the school board per the School Boards Collective Bargaining Act.  Should TDSB decide not to pay its membership fee of approximately $405,000, th</w:t>
      </w:r>
      <w:r>
        <w:rPr>
          <w:rFonts w:ascii="Arial" w:eastAsia="Times New Roman" w:hAnsi="Arial" w:cs="Arial"/>
          <w:color w:val="000000"/>
          <w:sz w:val="24"/>
          <w:szCs w:val="24"/>
          <w:lang w:eastAsia="en-CA"/>
        </w:rPr>
        <w:t>e Board would not have input at</w:t>
      </w:r>
      <w:r w:rsidRPr="00B560DF">
        <w:rPr>
          <w:rFonts w:ascii="Arial" w:eastAsia="Times New Roman" w:hAnsi="Arial" w:cs="Arial"/>
          <w:color w:val="000000"/>
          <w:sz w:val="24"/>
          <w:szCs w:val="24"/>
          <w:lang w:eastAsia="en-CA"/>
        </w:rPr>
        <w:t> OPSBA around negotiations and would be held to whatever agreement OPSBA approved as they are the bargaining</w:t>
      </w:r>
      <w:r>
        <w:rPr>
          <w:rFonts w:ascii="Arial" w:eastAsia="Times New Roman" w:hAnsi="Arial" w:cs="Arial"/>
          <w:color w:val="000000"/>
          <w:sz w:val="24"/>
          <w:szCs w:val="24"/>
          <w:lang w:eastAsia="en-CA"/>
        </w:rPr>
        <w:t xml:space="preserve"> agent for public school boards.</w:t>
      </w:r>
    </w:p>
    <w:p w:rsidR="00344962" w:rsidRDefault="00344962" w:rsidP="00B70AEC">
      <w:pPr>
        <w:spacing w:after="0" w:line="240" w:lineRule="auto"/>
        <w:rPr>
          <w:rFonts w:ascii="Arial" w:eastAsia="Times New Roman" w:hAnsi="Arial" w:cs="Arial"/>
          <w:color w:val="000000"/>
          <w:sz w:val="24"/>
          <w:szCs w:val="24"/>
          <w:lang w:eastAsia="en-CA"/>
        </w:rPr>
      </w:pPr>
    </w:p>
    <w:p w:rsidR="00344962" w:rsidRPr="00B70AEC" w:rsidRDefault="00344962" w:rsidP="00344962">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3</w:t>
      </w:r>
      <w:r w:rsidRPr="00B70AEC">
        <w:rPr>
          <w:rFonts w:ascii="Arial" w:eastAsia="Times New Roman" w:hAnsi="Arial" w:cs="Arial"/>
          <w:b/>
          <w:bCs/>
          <w:color w:val="000000"/>
          <w:sz w:val="24"/>
          <w:szCs w:val="24"/>
          <w:lang w:eastAsia="en-CA"/>
        </w:rPr>
        <w:t>.</w:t>
      </w:r>
      <w:r w:rsidRPr="00B70AEC">
        <w:rPr>
          <w:rFonts w:ascii="Arial" w:eastAsia="Times New Roman" w:hAnsi="Arial" w:cs="Arial"/>
          <w:color w:val="000000"/>
          <w:sz w:val="24"/>
          <w:szCs w:val="24"/>
          <w:lang w:eastAsia="en-CA"/>
        </w:rPr>
        <w:t xml:space="preserve"> </w:t>
      </w:r>
      <w:r w:rsidRPr="00B70AEC">
        <w:rPr>
          <w:rFonts w:ascii="Arial" w:eastAsia="Times New Roman" w:hAnsi="Arial" w:cs="Arial"/>
          <w:b/>
          <w:bCs/>
          <w:color w:val="000000"/>
          <w:sz w:val="24"/>
          <w:szCs w:val="24"/>
          <w:lang w:eastAsia="en-CA"/>
        </w:rPr>
        <w:t xml:space="preserve">Can you confirm that the total amount in the chart of $925,600 (special programs) is meant to be reduced?  i.e. are we cutting back some of this funding, or all of it? Can we see how much surplus these schools have had over the past few years? What happens to surplus school funds?  Do they stay at the school, or do they go back to the Board? How will this affect the special programs at these schools? Will this have any effect on staffing at these schools? </w:t>
      </w:r>
    </w:p>
    <w:p w:rsidR="00344962" w:rsidRPr="00B70AEC" w:rsidRDefault="00344962" w:rsidP="00344962">
      <w:pPr>
        <w:spacing w:after="0"/>
        <w:rPr>
          <w:rFonts w:ascii="Times New Roman" w:eastAsia="Times New Roman" w:hAnsi="Times New Roman" w:cs="Times New Roman"/>
          <w:sz w:val="24"/>
          <w:szCs w:val="24"/>
          <w:lang w:eastAsia="en-CA"/>
        </w:rPr>
      </w:pPr>
    </w:p>
    <w:p w:rsidR="00344962" w:rsidRDefault="00344962" w:rsidP="009B7A3B">
      <w:pPr>
        <w:spacing w:after="0"/>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24"/>
          <w:szCs w:val="24"/>
          <w:lang w:eastAsia="en-CA"/>
        </w:rPr>
        <w:t xml:space="preserve">Answer: </w:t>
      </w:r>
      <w:r w:rsidRPr="00B70AEC">
        <w:rPr>
          <w:rFonts w:ascii="Arial" w:eastAsia="Times New Roman" w:hAnsi="Arial" w:cs="Arial"/>
          <w:color w:val="000000"/>
          <w:sz w:val="24"/>
          <w:szCs w:val="24"/>
          <w:lang w:eastAsia="en-CA"/>
        </w:rPr>
        <w:t xml:space="preserve">The chart below provides information about the Program Supplements (excluding IB) that are provided to schools.  We have also provided three years of information regarding the schools year end surplus of both school budgets and school generated funds for your information.  Surplus funds are carried over into the next school year.  There will be little impact to these schools as most carryover larger balances than the allocation they are receiving.  This reduction will have no impact on </w:t>
      </w:r>
      <w:r w:rsidR="009B7A3B">
        <w:rPr>
          <w:rFonts w:ascii="Arial" w:eastAsia="Times New Roman" w:hAnsi="Arial" w:cs="Arial"/>
          <w:color w:val="000000"/>
          <w:sz w:val="24"/>
          <w:szCs w:val="24"/>
          <w:lang w:eastAsia="en-CA"/>
        </w:rPr>
        <w:t>staffing allocated by the board.</w:t>
      </w:r>
    </w:p>
    <w:p w:rsidR="00D76423" w:rsidRPr="00B70AEC" w:rsidRDefault="00D76423" w:rsidP="00B70AEC">
      <w:pPr>
        <w:spacing w:after="0" w:line="240" w:lineRule="auto"/>
        <w:rPr>
          <w:rFonts w:ascii="Times New Roman" w:eastAsia="Times New Roman" w:hAnsi="Times New Roman" w:cs="Times New Roman"/>
          <w:sz w:val="24"/>
          <w:szCs w:val="24"/>
          <w:lang w:eastAsia="en-CA"/>
        </w:rPr>
      </w:pPr>
    </w:p>
    <w:tbl>
      <w:tblPr>
        <w:tblW w:w="9383" w:type="dxa"/>
        <w:jc w:val="center"/>
        <w:tblCellMar>
          <w:top w:w="15" w:type="dxa"/>
          <w:left w:w="15" w:type="dxa"/>
          <w:bottom w:w="15" w:type="dxa"/>
          <w:right w:w="15" w:type="dxa"/>
        </w:tblCellMar>
        <w:tblLook w:val="04A0" w:firstRow="1" w:lastRow="0" w:firstColumn="1" w:lastColumn="0" w:noHBand="0" w:noVBand="1"/>
      </w:tblPr>
      <w:tblGrid>
        <w:gridCol w:w="1211"/>
        <w:gridCol w:w="631"/>
        <w:gridCol w:w="750"/>
        <w:gridCol w:w="1501"/>
        <w:gridCol w:w="951"/>
        <w:gridCol w:w="951"/>
        <w:gridCol w:w="1701"/>
        <w:gridCol w:w="1481"/>
        <w:gridCol w:w="206"/>
      </w:tblGrid>
      <w:tr w:rsidR="00B70AEC" w:rsidRPr="00B70AEC" w:rsidTr="00FF0AC8">
        <w:trPr>
          <w:trHeight w:val="50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School Name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LC</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Ward</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Year End Balance of School Budget and School Generated Funds Balances - Surplus/(Deficit)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D76423">
        <w:trPr>
          <w:trHeight w:val="1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D76423">
        <w:trPr>
          <w:trHeight w:val="43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0AEC" w:rsidRPr="00B70AEC" w:rsidRDefault="00B70AEC" w:rsidP="00FF0AC8">
            <w:pPr>
              <w:spacing w:after="0" w:line="240" w:lineRule="auto"/>
              <w:jc w:val="center"/>
              <w:rPr>
                <w:rFonts w:ascii="Times New Roman" w:eastAsia="Times New Roman" w:hAnsi="Times New Roman" w:cs="Times New Roman"/>
                <w:sz w:val="24"/>
                <w:szCs w:val="24"/>
                <w:lang w:eastAsia="en-CA"/>
              </w:rPr>
            </w:pPr>
          </w:p>
        </w:tc>
        <w:tc>
          <w:tcPr>
            <w:tcW w:w="1290" w:type="dxa"/>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15-16</w:t>
            </w:r>
          </w:p>
        </w:tc>
        <w:tc>
          <w:tcPr>
            <w:tcW w:w="1162" w:type="dxa"/>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16-17</w:t>
            </w:r>
          </w:p>
        </w:tc>
        <w:tc>
          <w:tcPr>
            <w:tcW w:w="0" w:type="auto"/>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B70AEC" w:rsidRDefault="00B70AEC" w:rsidP="00FF0AC8">
            <w:pPr>
              <w:spacing w:after="0" w:line="240" w:lineRule="auto"/>
              <w:ind w:left="100"/>
              <w:jc w:val="center"/>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18"/>
                <w:szCs w:val="18"/>
                <w:lang w:eastAsia="en-CA"/>
              </w:rPr>
              <w:t>17-18</w:t>
            </w:r>
          </w:p>
        </w:tc>
        <w:tc>
          <w:tcPr>
            <w:tcW w:w="0" w:type="auto"/>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FF0AC8" w:rsidRDefault="00FF0AC8" w:rsidP="00FF0AC8">
            <w:pPr>
              <w:spacing w:after="0" w:line="240" w:lineRule="auto"/>
              <w:ind w:left="100"/>
              <w:jc w:val="center"/>
              <w:rPr>
                <w:rFonts w:ascii="Times New Roman" w:eastAsia="Times New Roman" w:hAnsi="Times New Roman" w:cs="Times New Roman"/>
                <w:b/>
                <w:sz w:val="24"/>
                <w:szCs w:val="24"/>
                <w:lang w:eastAsia="en-CA"/>
              </w:rPr>
            </w:pPr>
            <w:r w:rsidRPr="00FF0AC8">
              <w:rPr>
                <w:rFonts w:ascii="Arial" w:eastAsia="Times New Roman" w:hAnsi="Arial" w:cs="Arial"/>
                <w:b/>
                <w:color w:val="000000"/>
                <w:sz w:val="18"/>
                <w:szCs w:val="18"/>
                <w:lang w:eastAsia="en-CA"/>
              </w:rPr>
              <w:t>Suppleme</w:t>
            </w:r>
            <w:r w:rsidR="00B70AEC" w:rsidRPr="00FF0AC8">
              <w:rPr>
                <w:rFonts w:ascii="Arial" w:eastAsia="Times New Roman" w:hAnsi="Arial" w:cs="Arial"/>
                <w:b/>
                <w:color w:val="000000"/>
                <w:sz w:val="18"/>
                <w:szCs w:val="18"/>
                <w:lang w:eastAsia="en-CA"/>
              </w:rPr>
              <w:t>ntary Allocation</w:t>
            </w:r>
          </w:p>
        </w:tc>
        <w:tc>
          <w:tcPr>
            <w:tcW w:w="0" w:type="auto"/>
            <w:tcBorders>
              <w:top w:val="single" w:sz="6" w:space="0" w:color="000000"/>
              <w:left w:val="single" w:sz="6" w:space="0" w:color="000000"/>
              <w:bottom w:val="single" w:sz="6" w:space="0" w:color="000000"/>
              <w:right w:val="single" w:sz="6" w:space="0" w:color="000000"/>
            </w:tcBorders>
            <w:shd w:val="clear" w:color="auto" w:fill="92CDDC"/>
            <w:tcMar>
              <w:top w:w="100" w:type="dxa"/>
              <w:left w:w="100" w:type="dxa"/>
              <w:bottom w:w="100" w:type="dxa"/>
              <w:right w:w="100" w:type="dxa"/>
            </w:tcMar>
            <w:vAlign w:val="bottom"/>
            <w:hideMark/>
          </w:tcPr>
          <w:p w:rsidR="00B70AEC" w:rsidRPr="00FF0AC8" w:rsidRDefault="00B70AEC" w:rsidP="00FF0AC8">
            <w:pPr>
              <w:spacing w:after="0" w:line="240" w:lineRule="auto"/>
              <w:ind w:left="100"/>
              <w:jc w:val="center"/>
              <w:rPr>
                <w:rFonts w:ascii="Times New Roman" w:eastAsia="Times New Roman" w:hAnsi="Times New Roman" w:cs="Times New Roman"/>
                <w:b/>
                <w:sz w:val="24"/>
                <w:szCs w:val="24"/>
                <w:lang w:eastAsia="en-CA"/>
              </w:rPr>
            </w:pPr>
            <w:r w:rsidRPr="00FF0AC8">
              <w:rPr>
                <w:rFonts w:ascii="Arial" w:eastAsia="Times New Roman" w:hAnsi="Arial" w:cs="Arial"/>
                <w:b/>
                <w:color w:val="000000"/>
                <w:sz w:val="18"/>
                <w:szCs w:val="18"/>
                <w:lang w:eastAsia="en-CA"/>
              </w:rPr>
              <w:t>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76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Hollycrest MS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29,852</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36,033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55,296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Athletics</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Silverthorn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34,664</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2,833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77,400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High Performance Athletic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Etobicoke School of the Arts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338,215</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271,122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221,765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150,000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Program $100,000 &amp; $50,000 Salary</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Emery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4</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135,347</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155,418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150,995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30,000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CyberScience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7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Charles H Best MS (East)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26,671</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47,824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25,096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CyberArts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Downsview SS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32,757</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11,762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38,314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Advantage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Faywood Arts-Based Curriculum School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20,068</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7,001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15,341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20,000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Northview Heights SS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284,001</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188,927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268,534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30,000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Cyberarts/Elite Athletics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William L Mackenzie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5</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111,578</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147,340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78,300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"MACS"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86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Ursula Franklin Academy</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62,479</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83,059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81,411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30,000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Technology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Bloor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9</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86,122</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131,399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124,732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TOPS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Central Technical School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10</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208,641</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358,414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278,964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50,000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Specialized 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80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The City School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10</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304</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14,901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16,362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Sec. Alternative School Office Supplies</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9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Avondale Alternative Secondary School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40,727</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39,227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25,849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35,600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Arts/Physical Ed</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Claude Watson School for the Arts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126,326</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110,481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75,493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Earl Haig SS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347,172</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438,321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307,004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Marc Garneau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498,801</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349,659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307,792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TOPS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Jarvis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143,965</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172,648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111,154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Native Learning Centre Supplement</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Rosedale Heights SA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134,858</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176,765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177,196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Don Mills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137,696</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123,155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73,538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CyberArts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Don Mills MS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32,164</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22,290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61,498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CyberArts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Georges Vanier SS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17</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125,732</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134,646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169,408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TOPS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Birchmount Park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18</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113,324</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143,919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154,422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25,000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Elite Athletic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62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SATEC @ WA Porter CI</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18</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70,587</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61,502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113,364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65,000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Technology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r w:rsidR="00B70AEC" w:rsidRPr="00B70AEC" w:rsidTr="00FF0AC8">
        <w:trPr>
          <w:trHeight w:val="80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Wexford Collegiate School for the Arts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LC3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19</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8,235</w:t>
            </w:r>
          </w:p>
        </w:tc>
        <w:tc>
          <w:tcPr>
            <w:tcW w:w="11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37,757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11,865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            100,000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hideMark/>
          </w:tcPr>
          <w:p w:rsidR="00B70AEC" w:rsidRPr="00B70AEC" w:rsidRDefault="00B70AEC" w:rsidP="00FF0AC8">
            <w:pPr>
              <w:spacing w:after="0" w:line="240" w:lineRule="auto"/>
              <w:ind w:left="100"/>
              <w:jc w:val="right"/>
              <w:rPr>
                <w:rFonts w:ascii="Times New Roman" w:eastAsia="Times New Roman" w:hAnsi="Times New Roman" w:cs="Times New Roman"/>
                <w:sz w:val="24"/>
                <w:szCs w:val="24"/>
                <w:lang w:eastAsia="en-CA"/>
              </w:rPr>
            </w:pPr>
            <w:r w:rsidRPr="00B70AEC">
              <w:rPr>
                <w:rFonts w:ascii="Arial" w:eastAsia="Times New Roman" w:hAnsi="Arial" w:cs="Arial"/>
                <w:color w:val="000000"/>
                <w:sz w:val="18"/>
                <w:szCs w:val="18"/>
                <w:lang w:eastAsia="en-CA"/>
              </w:rPr>
              <w:t>Arts Program</w:t>
            </w:r>
          </w:p>
        </w:tc>
        <w:tc>
          <w:tcPr>
            <w:tcW w:w="0" w:type="auto"/>
            <w:tcBorders>
              <w:left w:val="single" w:sz="6" w:space="0" w:color="000000"/>
            </w:tcBorders>
            <w:tcMar>
              <w:top w:w="100" w:type="dxa"/>
              <w:left w:w="100" w:type="dxa"/>
              <w:bottom w:w="100" w:type="dxa"/>
              <w:right w:w="100" w:type="dxa"/>
            </w:tcMar>
            <w:hideMark/>
          </w:tcPr>
          <w:p w:rsidR="00B70AEC" w:rsidRPr="00B70AEC" w:rsidRDefault="00B70AEC" w:rsidP="00B70AEC">
            <w:pPr>
              <w:spacing w:after="0" w:line="240" w:lineRule="auto"/>
              <w:rPr>
                <w:rFonts w:ascii="Times New Roman" w:eastAsia="Times New Roman" w:hAnsi="Times New Roman" w:cs="Times New Roman"/>
                <w:sz w:val="24"/>
                <w:szCs w:val="24"/>
                <w:lang w:eastAsia="en-CA"/>
              </w:rPr>
            </w:pPr>
          </w:p>
        </w:tc>
      </w:tr>
    </w:tbl>
    <w:p w:rsidR="00B70AEC" w:rsidRPr="00B70AEC" w:rsidRDefault="00B560DF" w:rsidP="00D76423">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4</w:t>
      </w:r>
      <w:r w:rsidR="00B70AEC" w:rsidRPr="00B70AEC">
        <w:rPr>
          <w:rFonts w:ascii="Arial" w:eastAsia="Times New Roman" w:hAnsi="Arial" w:cs="Arial"/>
          <w:b/>
          <w:bCs/>
          <w:color w:val="000000"/>
          <w:sz w:val="24"/>
          <w:szCs w:val="24"/>
          <w:lang w:eastAsia="en-CA"/>
        </w:rPr>
        <w:t xml:space="preserve">. Why is the board singling out gifted in the reductions vs. other special education programs? </w:t>
      </w:r>
    </w:p>
    <w:p w:rsidR="00B70AEC" w:rsidRPr="00B70AEC" w:rsidRDefault="00B70AEC" w:rsidP="00D76423">
      <w:pPr>
        <w:spacing w:after="0"/>
        <w:rPr>
          <w:rFonts w:ascii="Times New Roman" w:eastAsia="Times New Roman" w:hAnsi="Times New Roman" w:cs="Times New Roman"/>
          <w:sz w:val="24"/>
          <w:szCs w:val="24"/>
          <w:lang w:eastAsia="en-CA"/>
        </w:rPr>
      </w:pPr>
    </w:p>
    <w:p w:rsidR="00B70AEC" w:rsidRPr="00B70AEC" w:rsidRDefault="00D76423" w:rsidP="00D76423">
      <w:pPr>
        <w:spacing w:after="0"/>
        <w:rPr>
          <w:rFonts w:ascii="Times New Roman" w:eastAsia="Times New Roman" w:hAnsi="Times New Roman" w:cs="Times New Roman"/>
          <w:sz w:val="24"/>
          <w:szCs w:val="24"/>
          <w:lang w:eastAsia="en-CA"/>
        </w:rPr>
      </w:pPr>
      <w:r w:rsidRPr="00D76423">
        <w:rPr>
          <w:rFonts w:ascii="Arial" w:eastAsia="Times New Roman" w:hAnsi="Arial" w:cs="Arial"/>
          <w:b/>
          <w:color w:val="000000"/>
          <w:sz w:val="24"/>
          <w:szCs w:val="24"/>
          <w:lang w:eastAsia="en-CA"/>
        </w:rPr>
        <w:t>Answer:</w:t>
      </w:r>
      <w:r>
        <w:rPr>
          <w:rFonts w:ascii="Arial" w:eastAsia="Times New Roman" w:hAnsi="Arial" w:cs="Arial"/>
          <w:color w:val="000000"/>
          <w:sz w:val="24"/>
          <w:szCs w:val="24"/>
          <w:lang w:eastAsia="en-CA"/>
        </w:rPr>
        <w:t xml:space="preserve"> </w:t>
      </w:r>
      <w:r w:rsidR="00B70AEC" w:rsidRPr="00B70AEC">
        <w:rPr>
          <w:rFonts w:ascii="Arial" w:eastAsia="Times New Roman" w:hAnsi="Arial" w:cs="Arial"/>
          <w:color w:val="000000"/>
          <w:sz w:val="24"/>
          <w:szCs w:val="24"/>
          <w:lang w:eastAsia="en-CA"/>
        </w:rPr>
        <w:t>While Gifted is an exceptionality under the Education Act, it is not considered a disability. The consideration of transportation for all students has to prioritize our most vulnerable students, including students with physical, developmental, and communication disabilities. While we acknowledge that our students have a wide variety of needs within every exceptionality, students who are identified as Gifted are not considered students who are unable to access programs or locations without support.</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 xml:space="preserve"> </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Students with other exceptionalities including physical, developmental, and communication have needs that do not allow them the same degree of independent travel to and from school.</w:t>
      </w:r>
    </w:p>
    <w:p w:rsidR="00B70AEC" w:rsidRPr="00B70AEC" w:rsidRDefault="00B70AEC" w:rsidP="00D76423">
      <w:pPr>
        <w:spacing w:after="0"/>
        <w:rPr>
          <w:rFonts w:ascii="Times New Roman" w:eastAsia="Times New Roman" w:hAnsi="Times New Roman" w:cs="Times New Roman"/>
          <w:sz w:val="24"/>
          <w:szCs w:val="24"/>
          <w:lang w:eastAsia="en-CA"/>
        </w:rPr>
      </w:pPr>
      <w:r w:rsidRPr="00B70AEC">
        <w:rPr>
          <w:rFonts w:ascii="Arial" w:eastAsia="Times New Roman" w:hAnsi="Arial" w:cs="Arial"/>
          <w:color w:val="000000"/>
          <w:sz w:val="24"/>
          <w:szCs w:val="24"/>
          <w:lang w:eastAsia="en-CA"/>
        </w:rPr>
        <w:t xml:space="preserve"> </w:t>
      </w:r>
    </w:p>
    <w:p w:rsidR="00B70AEC" w:rsidRPr="00B70AEC" w:rsidRDefault="00B560DF" w:rsidP="00D76423">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5</w:t>
      </w:r>
      <w:r w:rsidR="00B70AEC" w:rsidRPr="00B70AEC">
        <w:rPr>
          <w:rFonts w:ascii="Arial" w:eastAsia="Times New Roman" w:hAnsi="Arial" w:cs="Arial"/>
          <w:b/>
          <w:bCs/>
          <w:color w:val="000000"/>
          <w:sz w:val="24"/>
          <w:szCs w:val="24"/>
          <w:lang w:eastAsia="en-CA"/>
        </w:rPr>
        <w:t xml:space="preserve">. What EarlyON cuts are in this budget? Is it just the two centres that need to be moved out or is there also a budget cut regarding the deficit for all centres? Are the existing centres at risk as a result of this budget? </w:t>
      </w:r>
    </w:p>
    <w:p w:rsidR="00B70AEC" w:rsidRPr="00B70AEC" w:rsidRDefault="00B70AEC" w:rsidP="00D76423">
      <w:pPr>
        <w:spacing w:after="0"/>
        <w:rPr>
          <w:rFonts w:ascii="Times New Roman" w:eastAsia="Times New Roman" w:hAnsi="Times New Roman" w:cs="Times New Roman"/>
          <w:sz w:val="24"/>
          <w:szCs w:val="24"/>
          <w:lang w:eastAsia="en-CA"/>
        </w:rPr>
      </w:pPr>
    </w:p>
    <w:p w:rsidR="00B70AEC" w:rsidRDefault="00B70AEC" w:rsidP="00D76423">
      <w:pPr>
        <w:spacing w:after="0"/>
        <w:rPr>
          <w:rFonts w:ascii="Arial" w:eastAsia="Times New Roman" w:hAnsi="Arial" w:cs="Arial"/>
          <w:color w:val="000000"/>
          <w:sz w:val="24"/>
          <w:szCs w:val="24"/>
          <w:lang w:eastAsia="en-CA"/>
        </w:rPr>
      </w:pPr>
      <w:r w:rsidRPr="00B70AEC">
        <w:rPr>
          <w:rFonts w:ascii="Arial" w:eastAsia="Times New Roman" w:hAnsi="Arial" w:cs="Arial"/>
          <w:b/>
          <w:bCs/>
          <w:color w:val="000000"/>
          <w:sz w:val="24"/>
          <w:szCs w:val="24"/>
          <w:lang w:eastAsia="en-CA"/>
        </w:rPr>
        <w:t xml:space="preserve">Answer: </w:t>
      </w:r>
      <w:r w:rsidRPr="00B70AEC">
        <w:rPr>
          <w:rFonts w:ascii="Arial" w:eastAsia="Times New Roman" w:hAnsi="Arial" w:cs="Arial"/>
          <w:color w:val="000000"/>
          <w:sz w:val="24"/>
          <w:szCs w:val="24"/>
          <w:lang w:eastAsia="en-CA"/>
        </w:rPr>
        <w:t>For the remainder of 2019, EarlyON Centres will continue to operate at 75 sites, a reduction of two centres.  As directed by the May 22, 2019 board decision, TDSB staff will engage with the City to discuss transitioning the programs to the City.  No final determination has been made about total number EarlyON Centres that will operated by TDSB in 2020 or beyond. The year over year cost to the Board for operating these programs is expected to increase unless there is additional grant funding for these programs.</w:t>
      </w:r>
    </w:p>
    <w:p w:rsidR="007877FB" w:rsidRDefault="007877FB" w:rsidP="00D76423">
      <w:pPr>
        <w:spacing w:after="0"/>
        <w:rPr>
          <w:rFonts w:ascii="Arial" w:eastAsia="Times New Roman" w:hAnsi="Arial" w:cs="Arial"/>
          <w:color w:val="000000"/>
          <w:sz w:val="24"/>
          <w:szCs w:val="24"/>
          <w:lang w:eastAsia="en-CA"/>
        </w:rPr>
      </w:pPr>
    </w:p>
    <w:p w:rsidR="007877FB" w:rsidRPr="007877FB" w:rsidRDefault="00B560DF" w:rsidP="00D76423">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6</w:t>
      </w:r>
      <w:r w:rsidR="007877FB">
        <w:rPr>
          <w:rFonts w:ascii="Arial" w:eastAsia="Times New Roman" w:hAnsi="Arial" w:cs="Arial"/>
          <w:b/>
          <w:bCs/>
          <w:color w:val="000000"/>
          <w:sz w:val="24"/>
          <w:szCs w:val="24"/>
          <w:lang w:eastAsia="en-CA"/>
        </w:rPr>
        <w:t xml:space="preserve">. </w:t>
      </w:r>
      <w:r w:rsidR="007877FB" w:rsidRPr="007877FB">
        <w:rPr>
          <w:rFonts w:ascii="Arial" w:eastAsia="Times New Roman" w:hAnsi="Arial" w:cs="Arial"/>
          <w:b/>
          <w:bCs/>
          <w:color w:val="000000"/>
          <w:sz w:val="24"/>
          <w:szCs w:val="24"/>
          <w:lang w:eastAsia="en-CA"/>
        </w:rPr>
        <w:t xml:space="preserve">Regarding profile staff, is this something we are going to discuss as part of budget discussions? </w:t>
      </w:r>
    </w:p>
    <w:p w:rsidR="007877FB" w:rsidRPr="007877FB" w:rsidRDefault="007877FB" w:rsidP="00D76423">
      <w:pPr>
        <w:spacing w:after="0"/>
        <w:rPr>
          <w:rFonts w:ascii="Times New Roman" w:eastAsia="Times New Roman" w:hAnsi="Times New Roman" w:cs="Times New Roman"/>
          <w:sz w:val="24"/>
          <w:szCs w:val="24"/>
          <w:lang w:eastAsia="en-CA"/>
        </w:rPr>
      </w:pPr>
    </w:p>
    <w:p w:rsidR="007877FB" w:rsidRPr="007877FB" w:rsidRDefault="007877FB" w:rsidP="00D76423">
      <w:pPr>
        <w:spacing w:after="0"/>
        <w:rPr>
          <w:rFonts w:ascii="Times New Roman" w:eastAsia="Times New Roman" w:hAnsi="Times New Roman" w:cs="Times New Roman"/>
          <w:sz w:val="24"/>
          <w:szCs w:val="24"/>
          <w:lang w:eastAsia="en-CA"/>
        </w:rPr>
      </w:pPr>
      <w:r w:rsidRPr="007877FB">
        <w:rPr>
          <w:rFonts w:ascii="Arial" w:eastAsia="Times New Roman" w:hAnsi="Arial" w:cs="Arial"/>
          <w:b/>
          <w:bCs/>
          <w:color w:val="000000"/>
          <w:sz w:val="24"/>
          <w:szCs w:val="24"/>
          <w:lang w:eastAsia="en-CA"/>
        </w:rPr>
        <w:t xml:space="preserve">Answer: </w:t>
      </w:r>
      <w:r w:rsidRPr="007877FB">
        <w:rPr>
          <w:rFonts w:ascii="Arial" w:eastAsia="Times New Roman" w:hAnsi="Arial" w:cs="Arial"/>
          <w:color w:val="000000"/>
          <w:sz w:val="24"/>
          <w:szCs w:val="24"/>
          <w:lang w:eastAsia="en-CA"/>
        </w:rPr>
        <w:t>Information regarding profile teachers has been provided in previous Q and As and also detailed in the Stage 1 and Stage 2 FBEC reports when school based staff allocations were approved. There is also some “profile”</w:t>
      </w:r>
      <w:r w:rsidR="00D76423">
        <w:rPr>
          <w:rFonts w:ascii="Arial" w:eastAsia="Times New Roman" w:hAnsi="Arial" w:cs="Arial"/>
          <w:color w:val="000000"/>
          <w:sz w:val="24"/>
          <w:szCs w:val="24"/>
          <w:lang w:eastAsia="en-CA"/>
        </w:rPr>
        <w:t xml:space="preserve"> </w:t>
      </w:r>
      <w:r w:rsidRPr="007877FB">
        <w:rPr>
          <w:rFonts w:ascii="Arial" w:eastAsia="Times New Roman" w:hAnsi="Arial" w:cs="Arial"/>
          <w:color w:val="000000"/>
          <w:sz w:val="24"/>
          <w:szCs w:val="24"/>
          <w:lang w:eastAsia="en-CA"/>
        </w:rPr>
        <w:t xml:space="preserve">support staff.  Like profile teachers, these support staff only serve a limited number of schools. More information on these profile staff will be provided in an upcoming update. </w:t>
      </w:r>
    </w:p>
    <w:p w:rsidR="00B70AEC" w:rsidRPr="00B70AEC" w:rsidRDefault="00B70AEC" w:rsidP="00D76423">
      <w:pPr>
        <w:spacing w:after="0"/>
        <w:rPr>
          <w:rFonts w:ascii="Times New Roman" w:eastAsia="Times New Roman" w:hAnsi="Times New Roman" w:cs="Times New Roman"/>
          <w:sz w:val="24"/>
          <w:szCs w:val="24"/>
          <w:lang w:eastAsia="en-CA"/>
        </w:rPr>
      </w:pPr>
    </w:p>
    <w:p w:rsidR="00B70AEC" w:rsidRPr="00B70AEC" w:rsidRDefault="00B560DF" w:rsidP="00D76423">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7</w:t>
      </w:r>
      <w:r w:rsidR="00B70AEC" w:rsidRPr="00B70AEC">
        <w:rPr>
          <w:rFonts w:ascii="Arial" w:eastAsia="Times New Roman" w:hAnsi="Arial" w:cs="Arial"/>
          <w:b/>
          <w:bCs/>
          <w:color w:val="000000"/>
          <w:sz w:val="24"/>
          <w:szCs w:val="24"/>
          <w:lang w:eastAsia="en-CA"/>
        </w:rPr>
        <w:t>. On the Appendix G, under Central Admin, it says “likely to result in program closures unless the funding from the Ministry of Education and/or Toronto Children’s services increases.” But there is no dollar value. Is it correct to read that to mean that there is no actual cut proposed?</w:t>
      </w:r>
    </w:p>
    <w:p w:rsidR="00B70AEC" w:rsidRPr="00B70AEC" w:rsidRDefault="00B70AEC" w:rsidP="00D76423">
      <w:pPr>
        <w:spacing w:after="0"/>
        <w:rPr>
          <w:rFonts w:ascii="Times New Roman" w:eastAsia="Times New Roman" w:hAnsi="Times New Roman" w:cs="Times New Roman"/>
          <w:sz w:val="24"/>
          <w:szCs w:val="24"/>
          <w:lang w:eastAsia="en-CA"/>
        </w:rPr>
      </w:pPr>
    </w:p>
    <w:p w:rsidR="00B70AEC" w:rsidRDefault="00B70AEC" w:rsidP="00B560DF">
      <w:pPr>
        <w:spacing w:after="0"/>
        <w:rPr>
          <w:rFonts w:ascii="Times New Roman" w:eastAsia="Times New Roman" w:hAnsi="Times New Roman" w:cs="Times New Roman"/>
          <w:sz w:val="24"/>
          <w:szCs w:val="24"/>
          <w:lang w:eastAsia="en-CA"/>
        </w:rPr>
      </w:pPr>
      <w:r w:rsidRPr="00B70AEC">
        <w:rPr>
          <w:rFonts w:ascii="Arial" w:eastAsia="Times New Roman" w:hAnsi="Arial" w:cs="Arial"/>
          <w:b/>
          <w:bCs/>
          <w:color w:val="000000"/>
          <w:sz w:val="24"/>
          <w:szCs w:val="24"/>
          <w:lang w:eastAsia="en-CA"/>
        </w:rPr>
        <w:t xml:space="preserve">Answer: </w:t>
      </w:r>
      <w:r w:rsidRPr="00B70AEC">
        <w:rPr>
          <w:rFonts w:ascii="Arial" w:eastAsia="Times New Roman" w:hAnsi="Arial" w:cs="Arial"/>
          <w:color w:val="000000"/>
          <w:sz w:val="24"/>
          <w:szCs w:val="24"/>
          <w:lang w:eastAsia="en-CA"/>
        </w:rPr>
        <w:t>No. There will be reductions to off-set the short-term and long-term budget deficit associated with operating EarlyON Centres</w:t>
      </w:r>
      <w:r w:rsidR="00D76423">
        <w:rPr>
          <w:rFonts w:ascii="Arial" w:eastAsia="Times New Roman" w:hAnsi="Arial" w:cs="Arial"/>
          <w:color w:val="000000"/>
          <w:sz w:val="24"/>
          <w:szCs w:val="24"/>
          <w:lang w:eastAsia="en-CA"/>
        </w:rPr>
        <w:t xml:space="preserve"> (approx. future deficits $500,</w:t>
      </w:r>
      <w:r w:rsidRPr="00B70AEC">
        <w:rPr>
          <w:rFonts w:ascii="Arial" w:eastAsia="Times New Roman" w:hAnsi="Arial" w:cs="Arial"/>
          <w:color w:val="000000"/>
          <w:sz w:val="24"/>
          <w:szCs w:val="24"/>
          <w:lang w:eastAsia="en-CA"/>
        </w:rPr>
        <w:t>000, $700,000). Staff will implement the May 2019 Board Decision and determine an appropriate transition plan and/or plan for closures. It is for this reason that the exact costs are unknown at this time.</w:t>
      </w:r>
    </w:p>
    <w:p w:rsidR="00B560DF" w:rsidRPr="00B70AEC" w:rsidRDefault="00B560DF" w:rsidP="00B560DF">
      <w:pPr>
        <w:spacing w:after="0"/>
        <w:rPr>
          <w:rFonts w:ascii="Times New Roman" w:eastAsia="Times New Roman" w:hAnsi="Times New Roman" w:cs="Times New Roman"/>
          <w:sz w:val="24"/>
          <w:szCs w:val="24"/>
          <w:lang w:eastAsia="en-CA"/>
        </w:rPr>
      </w:pPr>
    </w:p>
    <w:p w:rsidR="00B70AEC" w:rsidRPr="00B70AEC" w:rsidRDefault="00B560DF" w:rsidP="00D76423">
      <w:pPr>
        <w:spacing w:after="0"/>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8</w:t>
      </w:r>
      <w:r w:rsidR="00B70AEC" w:rsidRPr="00B70AEC">
        <w:rPr>
          <w:rFonts w:ascii="Arial" w:eastAsia="Times New Roman" w:hAnsi="Arial" w:cs="Arial"/>
          <w:b/>
          <w:bCs/>
          <w:color w:val="000000"/>
          <w:sz w:val="24"/>
          <w:szCs w:val="24"/>
          <w:lang w:eastAsia="en-CA"/>
        </w:rPr>
        <w:t>. Can staff quantify the costs of training IB staff as well as the cost of administering IB testing required for students throughout the year?</w:t>
      </w:r>
    </w:p>
    <w:p w:rsidR="00B70AEC" w:rsidRDefault="00B70AEC" w:rsidP="00D76423">
      <w:pPr>
        <w:pStyle w:val="Default"/>
        <w:spacing w:line="276" w:lineRule="auto"/>
        <w:rPr>
          <w:rFonts w:ascii="Arial" w:eastAsia="Times New Roman" w:hAnsi="Arial" w:cs="Arial"/>
          <w:b/>
          <w:color w:val="auto"/>
          <w:sz w:val="28"/>
          <w:szCs w:val="28"/>
          <w:lang w:val="en-US" w:eastAsia="en-US"/>
        </w:rPr>
      </w:pPr>
      <w:r w:rsidRPr="00B70AEC">
        <w:rPr>
          <w:rFonts w:ascii="Times New Roman" w:eastAsia="Times New Roman" w:hAnsi="Times New Roman" w:cs="Times New Roman"/>
          <w:color w:val="auto"/>
        </w:rPr>
        <w:br/>
      </w:r>
      <w:r w:rsidRPr="00B70AEC">
        <w:rPr>
          <w:rFonts w:ascii="Arial" w:eastAsia="Times New Roman" w:hAnsi="Arial" w:cs="Arial"/>
          <w:b/>
          <w:bCs/>
        </w:rPr>
        <w:t>Answer:</w:t>
      </w:r>
      <w:r w:rsidRPr="00B70AEC">
        <w:rPr>
          <w:rFonts w:ascii="Arial" w:eastAsia="Times New Roman" w:hAnsi="Arial" w:cs="Arial"/>
        </w:rPr>
        <w:t xml:space="preserve"> IB training varies depending on the location. Generally a training session inclusive of fees, travel and accommodation would cost $3,000 per teacher. Exams are for grade 12 IB Diploma students only. T</w:t>
      </w:r>
      <w:r w:rsidR="009E66B0">
        <w:rPr>
          <w:rFonts w:ascii="Arial" w:eastAsia="Times New Roman" w:hAnsi="Arial" w:cs="Arial"/>
        </w:rPr>
        <w:t>hey cost approximately $1000.00 for 6 exams.</w:t>
      </w:r>
    </w:p>
    <w:sectPr w:rsidR="00B70AEC" w:rsidSect="00CB69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63" w:rsidRDefault="00E22F63" w:rsidP="00485D71">
      <w:pPr>
        <w:spacing w:after="0" w:line="240" w:lineRule="auto"/>
      </w:pPr>
      <w:r>
        <w:separator/>
      </w:r>
    </w:p>
  </w:endnote>
  <w:endnote w:type="continuationSeparator" w:id="0">
    <w:p w:rsidR="00E22F63" w:rsidRDefault="00E22F63" w:rsidP="0048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roman"/>
    <w:pitch w:val="variable"/>
    <w:sig w:usb0="00000007" w:usb1="00000000" w:usb2="00000000" w:usb3="00000000" w:csb0="00000011"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63" w:rsidRDefault="00E22F63" w:rsidP="00485D71">
      <w:pPr>
        <w:spacing w:after="0" w:line="240" w:lineRule="auto"/>
      </w:pPr>
      <w:r>
        <w:separator/>
      </w:r>
    </w:p>
  </w:footnote>
  <w:footnote w:type="continuationSeparator" w:id="0">
    <w:p w:rsidR="00E22F63" w:rsidRDefault="00E22F63" w:rsidP="0048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259A8"/>
    <w:multiLevelType w:val="hybridMultilevel"/>
    <w:tmpl w:val="89F4D2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41F003A"/>
    <w:multiLevelType w:val="hybridMultilevel"/>
    <w:tmpl w:val="B5D2CFC2"/>
    <w:lvl w:ilvl="0" w:tplc="E3DE6246">
      <w:start w:val="1"/>
      <w:numFmt w:val="upperLetter"/>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A072ECE"/>
    <w:multiLevelType w:val="hybridMultilevel"/>
    <w:tmpl w:val="DB805472"/>
    <w:lvl w:ilvl="0" w:tplc="2A92760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D324630"/>
    <w:multiLevelType w:val="hybridMultilevel"/>
    <w:tmpl w:val="D8082666"/>
    <w:lvl w:ilvl="0" w:tplc="62F85D76">
      <w:start w:val="1"/>
      <w:numFmt w:val="decimal"/>
      <w:pStyle w:val="Heading4"/>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F"/>
    <w:rsid w:val="00062A58"/>
    <w:rsid w:val="00076076"/>
    <w:rsid w:val="000F276D"/>
    <w:rsid w:val="00113705"/>
    <w:rsid w:val="00134D67"/>
    <w:rsid w:val="00183B98"/>
    <w:rsid w:val="001C2AF6"/>
    <w:rsid w:val="001D16BF"/>
    <w:rsid w:val="002501F5"/>
    <w:rsid w:val="002821F6"/>
    <w:rsid w:val="00285E5B"/>
    <w:rsid w:val="002E0CD5"/>
    <w:rsid w:val="00344962"/>
    <w:rsid w:val="00355FA8"/>
    <w:rsid w:val="00380EBD"/>
    <w:rsid w:val="004257C5"/>
    <w:rsid w:val="004758CC"/>
    <w:rsid w:val="00485D71"/>
    <w:rsid w:val="00532D03"/>
    <w:rsid w:val="00537435"/>
    <w:rsid w:val="00556A5E"/>
    <w:rsid w:val="00640D4F"/>
    <w:rsid w:val="00642308"/>
    <w:rsid w:val="006B41BD"/>
    <w:rsid w:val="006D2F74"/>
    <w:rsid w:val="00712F00"/>
    <w:rsid w:val="007877FB"/>
    <w:rsid w:val="007E4F50"/>
    <w:rsid w:val="00891A45"/>
    <w:rsid w:val="008C6FA1"/>
    <w:rsid w:val="008F6B18"/>
    <w:rsid w:val="009527DB"/>
    <w:rsid w:val="009B7A3B"/>
    <w:rsid w:val="009C3363"/>
    <w:rsid w:val="009E66B0"/>
    <w:rsid w:val="00A37092"/>
    <w:rsid w:val="00A43596"/>
    <w:rsid w:val="00A62D60"/>
    <w:rsid w:val="00A72576"/>
    <w:rsid w:val="00AB2F9A"/>
    <w:rsid w:val="00AC278A"/>
    <w:rsid w:val="00AD3932"/>
    <w:rsid w:val="00AF0B5A"/>
    <w:rsid w:val="00AF6157"/>
    <w:rsid w:val="00B26BC6"/>
    <w:rsid w:val="00B362A9"/>
    <w:rsid w:val="00B560DF"/>
    <w:rsid w:val="00B64E2E"/>
    <w:rsid w:val="00B70AEC"/>
    <w:rsid w:val="00B7370C"/>
    <w:rsid w:val="00B86DE7"/>
    <w:rsid w:val="00BA41D8"/>
    <w:rsid w:val="00C033D5"/>
    <w:rsid w:val="00C438A7"/>
    <w:rsid w:val="00C455C6"/>
    <w:rsid w:val="00C4729C"/>
    <w:rsid w:val="00C919A9"/>
    <w:rsid w:val="00CB69DC"/>
    <w:rsid w:val="00D21B93"/>
    <w:rsid w:val="00D27488"/>
    <w:rsid w:val="00D423F8"/>
    <w:rsid w:val="00D76423"/>
    <w:rsid w:val="00DA1B17"/>
    <w:rsid w:val="00DE60D7"/>
    <w:rsid w:val="00DE7672"/>
    <w:rsid w:val="00DF7099"/>
    <w:rsid w:val="00E22F63"/>
    <w:rsid w:val="00E67FD2"/>
    <w:rsid w:val="00EA6C7B"/>
    <w:rsid w:val="00EF35F3"/>
    <w:rsid w:val="00F6680F"/>
    <w:rsid w:val="00F731E8"/>
    <w:rsid w:val="00FB48BB"/>
    <w:rsid w:val="00FF0AC8"/>
    <w:rsid w:val="00FF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477">
      <w:bodyDiv w:val="1"/>
      <w:marLeft w:val="0"/>
      <w:marRight w:val="0"/>
      <w:marTop w:val="0"/>
      <w:marBottom w:val="0"/>
      <w:divBdr>
        <w:top w:val="none" w:sz="0" w:space="0" w:color="auto"/>
        <w:left w:val="none" w:sz="0" w:space="0" w:color="auto"/>
        <w:bottom w:val="none" w:sz="0" w:space="0" w:color="auto"/>
        <w:right w:val="none" w:sz="0" w:space="0" w:color="auto"/>
      </w:divBdr>
      <w:divsChild>
        <w:div w:id="1130125592">
          <w:marLeft w:val="0"/>
          <w:marRight w:val="0"/>
          <w:marTop w:val="0"/>
          <w:marBottom w:val="0"/>
          <w:divBdr>
            <w:top w:val="none" w:sz="0" w:space="0" w:color="auto"/>
            <w:left w:val="none" w:sz="0" w:space="0" w:color="auto"/>
            <w:bottom w:val="none" w:sz="0" w:space="0" w:color="auto"/>
            <w:right w:val="none" w:sz="0" w:space="0" w:color="auto"/>
          </w:divBdr>
        </w:div>
      </w:divsChild>
    </w:div>
    <w:div w:id="579170623">
      <w:bodyDiv w:val="1"/>
      <w:marLeft w:val="0"/>
      <w:marRight w:val="0"/>
      <w:marTop w:val="0"/>
      <w:marBottom w:val="0"/>
      <w:divBdr>
        <w:top w:val="none" w:sz="0" w:space="0" w:color="auto"/>
        <w:left w:val="none" w:sz="0" w:space="0" w:color="auto"/>
        <w:bottom w:val="none" w:sz="0" w:space="0" w:color="auto"/>
        <w:right w:val="none" w:sz="0" w:space="0" w:color="auto"/>
      </w:divBdr>
    </w:div>
    <w:div w:id="750277819">
      <w:bodyDiv w:val="1"/>
      <w:marLeft w:val="0"/>
      <w:marRight w:val="0"/>
      <w:marTop w:val="0"/>
      <w:marBottom w:val="0"/>
      <w:divBdr>
        <w:top w:val="none" w:sz="0" w:space="0" w:color="auto"/>
        <w:left w:val="none" w:sz="0" w:space="0" w:color="auto"/>
        <w:bottom w:val="none" w:sz="0" w:space="0" w:color="auto"/>
        <w:right w:val="none" w:sz="0" w:space="0" w:color="auto"/>
      </w:divBdr>
    </w:div>
    <w:div w:id="835413028">
      <w:bodyDiv w:val="1"/>
      <w:marLeft w:val="0"/>
      <w:marRight w:val="0"/>
      <w:marTop w:val="0"/>
      <w:marBottom w:val="0"/>
      <w:divBdr>
        <w:top w:val="none" w:sz="0" w:space="0" w:color="auto"/>
        <w:left w:val="none" w:sz="0" w:space="0" w:color="auto"/>
        <w:bottom w:val="none" w:sz="0" w:space="0" w:color="auto"/>
        <w:right w:val="none" w:sz="0" w:space="0" w:color="auto"/>
      </w:divBdr>
    </w:div>
    <w:div w:id="1117796994">
      <w:bodyDiv w:val="1"/>
      <w:marLeft w:val="0"/>
      <w:marRight w:val="0"/>
      <w:marTop w:val="0"/>
      <w:marBottom w:val="0"/>
      <w:divBdr>
        <w:top w:val="none" w:sz="0" w:space="0" w:color="auto"/>
        <w:left w:val="none" w:sz="0" w:space="0" w:color="auto"/>
        <w:bottom w:val="none" w:sz="0" w:space="0" w:color="auto"/>
        <w:right w:val="none" w:sz="0" w:space="0" w:color="auto"/>
      </w:divBdr>
    </w:div>
    <w:div w:id="1155492142">
      <w:bodyDiv w:val="1"/>
      <w:marLeft w:val="0"/>
      <w:marRight w:val="0"/>
      <w:marTop w:val="0"/>
      <w:marBottom w:val="0"/>
      <w:divBdr>
        <w:top w:val="none" w:sz="0" w:space="0" w:color="auto"/>
        <w:left w:val="none" w:sz="0" w:space="0" w:color="auto"/>
        <w:bottom w:val="none" w:sz="0" w:space="0" w:color="auto"/>
        <w:right w:val="none" w:sz="0" w:space="0" w:color="auto"/>
      </w:divBdr>
    </w:div>
    <w:div w:id="1178037359">
      <w:bodyDiv w:val="1"/>
      <w:marLeft w:val="0"/>
      <w:marRight w:val="0"/>
      <w:marTop w:val="0"/>
      <w:marBottom w:val="0"/>
      <w:divBdr>
        <w:top w:val="none" w:sz="0" w:space="0" w:color="auto"/>
        <w:left w:val="none" w:sz="0" w:space="0" w:color="auto"/>
        <w:bottom w:val="none" w:sz="0" w:space="0" w:color="auto"/>
        <w:right w:val="none" w:sz="0" w:space="0" w:color="auto"/>
      </w:divBdr>
    </w:div>
    <w:div w:id="1277328045">
      <w:bodyDiv w:val="1"/>
      <w:marLeft w:val="0"/>
      <w:marRight w:val="0"/>
      <w:marTop w:val="0"/>
      <w:marBottom w:val="0"/>
      <w:divBdr>
        <w:top w:val="none" w:sz="0" w:space="0" w:color="auto"/>
        <w:left w:val="none" w:sz="0" w:space="0" w:color="auto"/>
        <w:bottom w:val="none" w:sz="0" w:space="0" w:color="auto"/>
        <w:right w:val="none" w:sz="0" w:space="0" w:color="auto"/>
      </w:divBdr>
    </w:div>
    <w:div w:id="1299872816">
      <w:bodyDiv w:val="1"/>
      <w:marLeft w:val="0"/>
      <w:marRight w:val="0"/>
      <w:marTop w:val="0"/>
      <w:marBottom w:val="0"/>
      <w:divBdr>
        <w:top w:val="none" w:sz="0" w:space="0" w:color="auto"/>
        <w:left w:val="none" w:sz="0" w:space="0" w:color="auto"/>
        <w:bottom w:val="none" w:sz="0" w:space="0" w:color="auto"/>
        <w:right w:val="none" w:sz="0" w:space="0" w:color="auto"/>
      </w:divBdr>
    </w:div>
    <w:div w:id="1405489505">
      <w:bodyDiv w:val="1"/>
      <w:marLeft w:val="0"/>
      <w:marRight w:val="0"/>
      <w:marTop w:val="0"/>
      <w:marBottom w:val="0"/>
      <w:divBdr>
        <w:top w:val="none" w:sz="0" w:space="0" w:color="auto"/>
        <w:left w:val="none" w:sz="0" w:space="0" w:color="auto"/>
        <w:bottom w:val="none" w:sz="0" w:space="0" w:color="auto"/>
        <w:right w:val="none" w:sz="0" w:space="0" w:color="auto"/>
      </w:divBdr>
    </w:div>
    <w:div w:id="1521966495">
      <w:bodyDiv w:val="1"/>
      <w:marLeft w:val="0"/>
      <w:marRight w:val="0"/>
      <w:marTop w:val="0"/>
      <w:marBottom w:val="0"/>
      <w:divBdr>
        <w:top w:val="none" w:sz="0" w:space="0" w:color="auto"/>
        <w:left w:val="none" w:sz="0" w:space="0" w:color="auto"/>
        <w:bottom w:val="none" w:sz="0" w:space="0" w:color="auto"/>
        <w:right w:val="none" w:sz="0" w:space="0" w:color="auto"/>
      </w:divBdr>
    </w:div>
    <w:div w:id="1938436886">
      <w:bodyDiv w:val="1"/>
      <w:marLeft w:val="0"/>
      <w:marRight w:val="0"/>
      <w:marTop w:val="0"/>
      <w:marBottom w:val="0"/>
      <w:divBdr>
        <w:top w:val="none" w:sz="0" w:space="0" w:color="auto"/>
        <w:left w:val="none" w:sz="0" w:space="0" w:color="auto"/>
        <w:bottom w:val="none" w:sz="0" w:space="0" w:color="auto"/>
        <w:right w:val="none" w:sz="0" w:space="0" w:color="auto"/>
      </w:divBdr>
      <w:divsChild>
        <w:div w:id="1852260170">
          <w:marLeft w:val="0"/>
          <w:marRight w:val="0"/>
          <w:marTop w:val="0"/>
          <w:marBottom w:val="0"/>
          <w:divBdr>
            <w:top w:val="none" w:sz="0" w:space="0" w:color="auto"/>
            <w:left w:val="none" w:sz="0" w:space="0" w:color="auto"/>
            <w:bottom w:val="none" w:sz="0" w:space="0" w:color="auto"/>
            <w:right w:val="none" w:sz="0" w:space="0" w:color="auto"/>
          </w:divBdr>
        </w:div>
        <w:div w:id="648872579">
          <w:marLeft w:val="0"/>
          <w:marRight w:val="0"/>
          <w:marTop w:val="0"/>
          <w:marBottom w:val="0"/>
          <w:divBdr>
            <w:top w:val="none" w:sz="0" w:space="0" w:color="auto"/>
            <w:left w:val="none" w:sz="0" w:space="0" w:color="auto"/>
            <w:bottom w:val="none" w:sz="0" w:space="0" w:color="auto"/>
            <w:right w:val="none" w:sz="0" w:space="0" w:color="auto"/>
          </w:divBdr>
        </w:div>
      </w:divsChild>
    </w:div>
    <w:div w:id="2060476114">
      <w:bodyDiv w:val="1"/>
      <w:marLeft w:val="0"/>
      <w:marRight w:val="0"/>
      <w:marTop w:val="0"/>
      <w:marBottom w:val="0"/>
      <w:divBdr>
        <w:top w:val="none" w:sz="0" w:space="0" w:color="auto"/>
        <w:left w:val="none" w:sz="0" w:space="0" w:color="auto"/>
        <w:bottom w:val="none" w:sz="0" w:space="0" w:color="auto"/>
        <w:right w:val="none" w:sz="0" w:space="0" w:color="auto"/>
      </w:divBdr>
    </w:div>
    <w:div w:id="2089181856">
      <w:bodyDiv w:val="1"/>
      <w:marLeft w:val="0"/>
      <w:marRight w:val="0"/>
      <w:marTop w:val="0"/>
      <w:marBottom w:val="0"/>
      <w:divBdr>
        <w:top w:val="none" w:sz="0" w:space="0" w:color="auto"/>
        <w:left w:val="none" w:sz="0" w:space="0" w:color="auto"/>
        <w:bottom w:val="none" w:sz="0" w:space="0" w:color="auto"/>
        <w:right w:val="none" w:sz="0" w:space="0" w:color="auto"/>
      </w:divBdr>
      <w:divsChild>
        <w:div w:id="1658801004">
          <w:marLeft w:val="0"/>
          <w:marRight w:val="0"/>
          <w:marTop w:val="0"/>
          <w:marBottom w:val="0"/>
          <w:divBdr>
            <w:top w:val="none" w:sz="0" w:space="0" w:color="auto"/>
            <w:left w:val="none" w:sz="0" w:space="0" w:color="auto"/>
            <w:bottom w:val="none" w:sz="0" w:space="0" w:color="auto"/>
            <w:right w:val="none" w:sz="0" w:space="0" w:color="auto"/>
          </w:divBdr>
        </w:div>
      </w:divsChild>
    </w:div>
    <w:div w:id="2097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23F1-6BFA-4943-ADE5-13D8400B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Venning, Gillian</dc:creator>
  <cp:lastModifiedBy>Venning, Gillian</cp:lastModifiedBy>
  <cp:revision>2</cp:revision>
  <cp:lastPrinted>2019-05-30T19:30:00Z</cp:lastPrinted>
  <dcterms:created xsi:type="dcterms:W3CDTF">2019-05-31T21:04:00Z</dcterms:created>
  <dcterms:modified xsi:type="dcterms:W3CDTF">2019-05-31T21:04:00Z</dcterms:modified>
</cp:coreProperties>
</file>