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459EC" w14:textId="293F0B8D" w:rsidR="00C40232" w:rsidRPr="00DB3BA5" w:rsidRDefault="00C40232" w:rsidP="009C1317">
      <w:pPr>
        <w:spacing w:after="0" w:line="240" w:lineRule="auto"/>
        <w:jc w:val="center"/>
        <w:rPr>
          <w:rFonts w:ascii="Nirmala UI" w:hAnsi="Nirmala UI" w:cs="Nirmala UI"/>
          <w:b/>
          <w:sz w:val="28"/>
          <w:szCs w:val="24"/>
        </w:rPr>
      </w:pPr>
      <w:r w:rsidRPr="00DB3BA5">
        <w:rPr>
          <w:rFonts w:ascii="Nirmala UI" w:hAnsi="Nirmala UI" w:cs="Nirmala UI"/>
          <w:b/>
          <w:sz w:val="28"/>
          <w:szCs w:val="24"/>
        </w:rPr>
        <w:t xml:space="preserve">2019-20 </w:t>
      </w:r>
      <w:proofErr w:type="gramStart"/>
      <w:r w:rsidRPr="00DB3BA5">
        <w:rPr>
          <w:rFonts w:ascii="Nirmala UI" w:hAnsi="Nirmala UI" w:cs="Nirmala UI"/>
          <w:b/>
          <w:sz w:val="28"/>
          <w:szCs w:val="24"/>
        </w:rPr>
        <w:t>Budget</w:t>
      </w:r>
      <w:proofErr w:type="gramEnd"/>
    </w:p>
    <w:p w14:paraId="230153F4" w14:textId="6FDDBB9D" w:rsidR="00F87A52" w:rsidRPr="00DB3BA5" w:rsidRDefault="00E053DA" w:rsidP="009C1317">
      <w:pPr>
        <w:spacing w:after="0" w:line="240" w:lineRule="auto"/>
        <w:jc w:val="center"/>
        <w:rPr>
          <w:rFonts w:ascii="Nirmala UI" w:hAnsi="Nirmala UI" w:cs="Nirmala UI"/>
          <w:szCs w:val="20"/>
        </w:rPr>
      </w:pPr>
      <w:r w:rsidRPr="00DB3BA5">
        <w:rPr>
          <w:rFonts w:ascii="Nirmala UI" w:hAnsi="Nirmala UI" w:cs="Nirmala UI"/>
          <w:b/>
          <w:sz w:val="28"/>
          <w:szCs w:val="24"/>
        </w:rPr>
        <w:t>Alternatives for Balanced Budget Chart</w:t>
      </w:r>
    </w:p>
    <w:p w14:paraId="04FE8233" w14:textId="77777777" w:rsidR="00A27741" w:rsidRDefault="00A27741" w:rsidP="00E053DA">
      <w:pPr>
        <w:spacing w:after="0"/>
        <w:rPr>
          <w:rFonts w:ascii="Nirmala UI" w:hAnsi="Nirmala UI" w:cs="Nirmala UI"/>
          <w:b/>
        </w:rPr>
      </w:pPr>
    </w:p>
    <w:p w14:paraId="6FF32757" w14:textId="3C2172F3" w:rsidR="00E428DA" w:rsidRDefault="00E428DA" w:rsidP="00E428DA">
      <w:pPr>
        <w:rPr>
          <w:rFonts w:ascii="Nirmala UI" w:hAnsi="Nirmala UI" w:cs="Nirmala UI"/>
          <w:sz w:val="24"/>
          <w:szCs w:val="24"/>
        </w:rPr>
      </w:pPr>
      <w:proofErr w:type="gramStart"/>
      <w:r>
        <w:rPr>
          <w:rFonts w:ascii="Nirmala UI" w:hAnsi="Nirmala UI" w:cs="Nirmala UI"/>
          <w:sz w:val="24"/>
          <w:szCs w:val="24"/>
        </w:rPr>
        <w:t>Staff</w:t>
      </w:r>
      <w:proofErr w:type="gramEnd"/>
      <w:r>
        <w:rPr>
          <w:rFonts w:ascii="Nirmala UI" w:hAnsi="Nirmala UI" w:cs="Nirmala UI"/>
          <w:sz w:val="24"/>
          <w:szCs w:val="24"/>
        </w:rPr>
        <w:t xml:space="preserve"> has prepared this Alternatives for Balanced Budget Chart so that Trustees have a complete understanding of all of the options available to them to balance the TDSB’s 2019-20 budget. As the Board knows, staff provided Trustees with a proposed balanced budget plan (Appendix G) that identif</w:t>
      </w:r>
      <w:bookmarkStart w:id="0" w:name="_GoBack"/>
      <w:bookmarkEnd w:id="0"/>
      <w:r>
        <w:rPr>
          <w:rFonts w:ascii="Nirmala UI" w:hAnsi="Nirmala UI" w:cs="Nirmala UI"/>
          <w:sz w:val="24"/>
          <w:szCs w:val="24"/>
        </w:rPr>
        <w:t>ied staff’s recommended budget reductions and/or revenue increases that respond to the budget shortfall of $67.8 million ($40.1 million due to Ministry of Education grant reductions and $25.7 million due to the T</w:t>
      </w:r>
      <w:r w:rsidR="00745BB5">
        <w:rPr>
          <w:rFonts w:ascii="Nirmala UI" w:hAnsi="Nirmala UI" w:cs="Nirmala UI"/>
          <w:sz w:val="24"/>
          <w:szCs w:val="24"/>
        </w:rPr>
        <w:t>oronto District School Boards (T</w:t>
      </w:r>
      <w:r>
        <w:rPr>
          <w:rFonts w:ascii="Nirmala UI" w:hAnsi="Nirmala UI" w:cs="Nirmala UI"/>
          <w:sz w:val="24"/>
          <w:szCs w:val="24"/>
        </w:rPr>
        <w:t>DSB</w:t>
      </w:r>
      <w:r w:rsidR="00745BB5">
        <w:rPr>
          <w:rFonts w:ascii="Nirmala UI" w:hAnsi="Nirmala UI" w:cs="Nirmala UI"/>
          <w:sz w:val="24"/>
          <w:szCs w:val="24"/>
        </w:rPr>
        <w:t xml:space="preserve">) </w:t>
      </w:r>
      <w:r>
        <w:rPr>
          <w:rFonts w:ascii="Nirmala UI" w:hAnsi="Nirmala UI" w:cs="Nirmala UI"/>
          <w:sz w:val="24"/>
          <w:szCs w:val="24"/>
        </w:rPr>
        <w:t xml:space="preserve">structural deficit). </w:t>
      </w:r>
    </w:p>
    <w:p w14:paraId="51AC11F7" w14:textId="77777777" w:rsidR="00E428DA" w:rsidRDefault="00E428DA" w:rsidP="00E428DA">
      <w:pPr>
        <w:rPr>
          <w:rFonts w:ascii="Nirmala UI" w:hAnsi="Nirmala UI" w:cs="Nirmala UI"/>
          <w:sz w:val="24"/>
          <w:szCs w:val="24"/>
        </w:rPr>
      </w:pPr>
      <w:proofErr w:type="gramStart"/>
      <w:r>
        <w:rPr>
          <w:rFonts w:ascii="Nirmala UI" w:hAnsi="Nirmala UI" w:cs="Nirmala UI"/>
          <w:sz w:val="24"/>
          <w:szCs w:val="24"/>
        </w:rPr>
        <w:t>Staff’s proposed</w:t>
      </w:r>
      <w:proofErr w:type="gramEnd"/>
      <w:r>
        <w:rPr>
          <w:rFonts w:ascii="Nirmala UI" w:hAnsi="Nirmala UI" w:cs="Nirmala UI"/>
          <w:sz w:val="24"/>
          <w:szCs w:val="24"/>
        </w:rPr>
        <w:t xml:space="preserve"> balanced budget plan included carefully considered budget reductions that were guided by the strategic budget drivers that were prioritized and approved by the Board after consideration of public input. The proposed reductions were also guided by the goals outlined in the Multi-Year Strategic Plan. </w:t>
      </w:r>
    </w:p>
    <w:p w14:paraId="3C60A171" w14:textId="77777777" w:rsidR="00E428DA" w:rsidRDefault="00E428DA" w:rsidP="00E428DA">
      <w:pPr>
        <w:rPr>
          <w:rFonts w:ascii="Nirmala UI" w:hAnsi="Nirmala UI" w:cs="Nirmala UI"/>
          <w:sz w:val="24"/>
          <w:szCs w:val="24"/>
        </w:rPr>
      </w:pPr>
      <w:proofErr w:type="gramStart"/>
      <w:r>
        <w:rPr>
          <w:rFonts w:ascii="Nirmala UI" w:hAnsi="Nirmala UI" w:cs="Nirmala UI"/>
          <w:sz w:val="24"/>
          <w:szCs w:val="24"/>
        </w:rPr>
        <w:t>Staff’s proposed</w:t>
      </w:r>
      <w:proofErr w:type="gramEnd"/>
      <w:r>
        <w:rPr>
          <w:rFonts w:ascii="Nirmala UI" w:hAnsi="Nirmala UI" w:cs="Nirmala UI"/>
          <w:sz w:val="24"/>
          <w:szCs w:val="24"/>
        </w:rPr>
        <w:t xml:space="preserve"> balanced budget plan also attempts to preserve Human Resources that support schools as much as possible, while still having enough staff to administer the many aspects of our Board.  For the most part, the Alternatives for Balanced Budget Chart consists of further staff reductions, should they be requested by the Board. </w:t>
      </w:r>
    </w:p>
    <w:p w14:paraId="3E522EAA" w14:textId="77777777" w:rsidR="00E428DA" w:rsidRDefault="00E428DA" w:rsidP="00E428DA">
      <w:pPr>
        <w:rPr>
          <w:rFonts w:ascii="Nirmala UI" w:hAnsi="Nirmala UI" w:cs="Nirmala UI"/>
          <w:sz w:val="24"/>
          <w:szCs w:val="24"/>
        </w:rPr>
      </w:pPr>
      <w:r>
        <w:rPr>
          <w:rFonts w:ascii="Nirmala UI" w:hAnsi="Nirmala UI" w:cs="Nirmala UI"/>
          <w:sz w:val="24"/>
          <w:szCs w:val="24"/>
        </w:rPr>
        <w:t>The chart represents areas of the TDSB budget where staff did not propose budget reductions, or in some cases, do not propose any additional budget reductions. In staff’s view, further reductions from the Alternatives for Balanced Budget Chart would have a significant, negative impact on students, school supports, and Board operations and services. Staff has reviewed all of these areas prior to proposing the draft budget and can offer further insights, should the Board wish, as to why these areas were not included in the proposed budget.</w:t>
      </w:r>
    </w:p>
    <w:p w14:paraId="149BE73B" w14:textId="66A20BAA" w:rsidR="00E428DA" w:rsidRDefault="00E428DA" w:rsidP="00E428DA">
      <w:pPr>
        <w:rPr>
          <w:rFonts w:ascii="Nirmala UI" w:hAnsi="Nirmala UI" w:cs="Nirmala UI"/>
          <w:sz w:val="24"/>
          <w:szCs w:val="24"/>
        </w:rPr>
      </w:pPr>
      <w:r>
        <w:rPr>
          <w:rFonts w:ascii="Nirmala UI" w:hAnsi="Nirmala UI" w:cs="Nirmala UI"/>
          <w:sz w:val="24"/>
          <w:szCs w:val="24"/>
        </w:rPr>
        <w:t>It is staff’s expectation that shoul</w:t>
      </w:r>
      <w:r w:rsidR="00CC2EE8">
        <w:rPr>
          <w:rFonts w:ascii="Nirmala UI" w:hAnsi="Nirmala UI" w:cs="Nirmala UI"/>
          <w:sz w:val="24"/>
          <w:szCs w:val="24"/>
        </w:rPr>
        <w:t>d the Finance, Budget and Enrol</w:t>
      </w:r>
      <w:r>
        <w:rPr>
          <w:rFonts w:ascii="Nirmala UI" w:hAnsi="Nirmala UI" w:cs="Nirmala UI"/>
          <w:sz w:val="24"/>
          <w:szCs w:val="24"/>
        </w:rPr>
        <w:t>ment Committee wish to recommend that one or more reduction(s) in the proposed plan (Appendix G)  not proceed, then the committee will identify which of the departments listed in the Alternatives for Balanced Budget Chart should be reduced so that there is a budget reduction off-set. Staff would then propose which areas within the department will absorb the reduction.</w:t>
      </w:r>
    </w:p>
    <w:tbl>
      <w:tblPr>
        <w:tblStyle w:val="TableGrid"/>
        <w:tblW w:w="13248" w:type="dxa"/>
        <w:tblLook w:val="04A0" w:firstRow="1" w:lastRow="0" w:firstColumn="1" w:lastColumn="0" w:noHBand="0" w:noVBand="1"/>
      </w:tblPr>
      <w:tblGrid>
        <w:gridCol w:w="2448"/>
        <w:gridCol w:w="8190"/>
        <w:gridCol w:w="1080"/>
        <w:gridCol w:w="1530"/>
      </w:tblGrid>
      <w:tr w:rsidR="009D23C1" w:rsidRPr="00596FB8" w14:paraId="03410DC1" w14:textId="77777777" w:rsidTr="004C0499">
        <w:trPr>
          <w:trHeight w:val="818"/>
          <w:tblHeader/>
        </w:trPr>
        <w:tc>
          <w:tcPr>
            <w:tcW w:w="2448" w:type="dxa"/>
            <w:shd w:val="pct10" w:color="auto" w:fill="auto"/>
            <w:vAlign w:val="center"/>
          </w:tcPr>
          <w:p w14:paraId="32D587BD" w14:textId="77777777" w:rsidR="009D23C1" w:rsidRPr="00596FB8" w:rsidRDefault="009D23C1" w:rsidP="009835FE">
            <w:pPr>
              <w:jc w:val="center"/>
              <w:rPr>
                <w:rFonts w:ascii="Nirmala UI" w:hAnsi="Nirmala UI" w:cs="Nirmala UI"/>
                <w:b/>
                <w:sz w:val="20"/>
                <w:szCs w:val="20"/>
              </w:rPr>
            </w:pPr>
            <w:r w:rsidRPr="00596FB8">
              <w:rPr>
                <w:rFonts w:ascii="Nirmala UI" w:hAnsi="Nirmala UI" w:cs="Nirmala UI"/>
                <w:b/>
                <w:sz w:val="20"/>
                <w:szCs w:val="20"/>
              </w:rPr>
              <w:lastRenderedPageBreak/>
              <w:t>Department/Area</w:t>
            </w:r>
          </w:p>
        </w:tc>
        <w:tc>
          <w:tcPr>
            <w:tcW w:w="8190" w:type="dxa"/>
            <w:shd w:val="pct10" w:color="auto" w:fill="auto"/>
            <w:vAlign w:val="center"/>
          </w:tcPr>
          <w:p w14:paraId="44C533C1" w14:textId="77777777" w:rsidR="009D23C1" w:rsidRPr="00596FB8" w:rsidRDefault="009D23C1" w:rsidP="009835FE">
            <w:pPr>
              <w:jc w:val="center"/>
              <w:rPr>
                <w:rFonts w:ascii="Nirmala UI" w:hAnsi="Nirmala UI" w:cs="Nirmala UI"/>
                <w:b/>
                <w:sz w:val="20"/>
                <w:szCs w:val="20"/>
              </w:rPr>
            </w:pPr>
            <w:r w:rsidRPr="00596FB8">
              <w:rPr>
                <w:rFonts w:ascii="Nirmala UI" w:hAnsi="Nirmala UI" w:cs="Nirmala UI"/>
                <w:b/>
                <w:sz w:val="20"/>
                <w:szCs w:val="20"/>
              </w:rPr>
              <w:t>Description</w:t>
            </w:r>
          </w:p>
        </w:tc>
        <w:tc>
          <w:tcPr>
            <w:tcW w:w="1080" w:type="dxa"/>
            <w:shd w:val="pct10" w:color="auto" w:fill="auto"/>
          </w:tcPr>
          <w:p w14:paraId="2121F7AA" w14:textId="01C5B8FC" w:rsidR="009D23C1" w:rsidRPr="00596FB8" w:rsidRDefault="009D23C1" w:rsidP="00675A14">
            <w:pPr>
              <w:spacing w:before="120"/>
              <w:jc w:val="center"/>
              <w:rPr>
                <w:rFonts w:ascii="Nirmala UI" w:hAnsi="Nirmala UI" w:cs="Nirmala UI"/>
                <w:b/>
                <w:sz w:val="20"/>
                <w:szCs w:val="20"/>
              </w:rPr>
            </w:pPr>
            <w:r>
              <w:rPr>
                <w:rFonts w:ascii="Nirmala UI" w:hAnsi="Nirmala UI" w:cs="Nirmala UI"/>
                <w:b/>
                <w:sz w:val="20"/>
                <w:szCs w:val="20"/>
              </w:rPr>
              <w:t>FTE</w:t>
            </w:r>
          </w:p>
        </w:tc>
        <w:tc>
          <w:tcPr>
            <w:tcW w:w="1530" w:type="dxa"/>
            <w:shd w:val="pct10" w:color="auto" w:fill="auto"/>
          </w:tcPr>
          <w:p w14:paraId="5AFBA6F6" w14:textId="5B7832AF" w:rsidR="009D23C1" w:rsidRPr="00596FB8" w:rsidRDefault="009D23C1" w:rsidP="00675A14">
            <w:pPr>
              <w:spacing w:before="120"/>
              <w:jc w:val="center"/>
              <w:rPr>
                <w:rFonts w:ascii="Nirmala UI" w:hAnsi="Nirmala UI" w:cs="Nirmala UI"/>
                <w:b/>
                <w:sz w:val="20"/>
                <w:szCs w:val="20"/>
              </w:rPr>
            </w:pPr>
            <w:r w:rsidRPr="00596FB8">
              <w:rPr>
                <w:rFonts w:ascii="Nirmala UI" w:hAnsi="Nirmala UI" w:cs="Nirmala UI"/>
                <w:b/>
                <w:sz w:val="20"/>
                <w:szCs w:val="20"/>
              </w:rPr>
              <w:t xml:space="preserve">Total Salary </w:t>
            </w:r>
            <w:r w:rsidR="00E152BB">
              <w:rPr>
                <w:rFonts w:ascii="Nirmala UI" w:hAnsi="Nirmala UI" w:cs="Nirmala UI"/>
                <w:b/>
                <w:sz w:val="20"/>
                <w:szCs w:val="20"/>
              </w:rPr>
              <w:t xml:space="preserve">and </w:t>
            </w:r>
            <w:r w:rsidRPr="00596FB8">
              <w:rPr>
                <w:rFonts w:ascii="Nirmala UI" w:hAnsi="Nirmala UI" w:cs="Nirmala UI"/>
                <w:b/>
                <w:sz w:val="20"/>
                <w:szCs w:val="20"/>
              </w:rPr>
              <w:t>Benefits</w:t>
            </w:r>
          </w:p>
        </w:tc>
      </w:tr>
      <w:tr w:rsidR="009D23C1" w:rsidRPr="00596FB8" w14:paraId="0F2AB55D" w14:textId="77777777" w:rsidTr="004C0499">
        <w:trPr>
          <w:trHeight w:val="47"/>
        </w:trPr>
        <w:tc>
          <w:tcPr>
            <w:tcW w:w="13248" w:type="dxa"/>
            <w:gridSpan w:val="4"/>
            <w:shd w:val="clear" w:color="auto" w:fill="EEECE1" w:themeFill="background2"/>
          </w:tcPr>
          <w:p w14:paraId="66275D14" w14:textId="4835E5E4" w:rsidR="009D23C1" w:rsidRPr="00596FB8" w:rsidRDefault="009C1317" w:rsidP="009C1317">
            <w:pPr>
              <w:jc w:val="center"/>
              <w:rPr>
                <w:rFonts w:ascii="Nirmala UI" w:hAnsi="Nirmala UI" w:cs="Nirmala UI"/>
                <w:b/>
                <w:sz w:val="20"/>
                <w:szCs w:val="20"/>
                <w:highlight w:val="yellow"/>
              </w:rPr>
            </w:pPr>
            <w:r>
              <w:rPr>
                <w:rFonts w:ascii="Nirmala UI" w:hAnsi="Nirmala UI" w:cs="Nirmala UI"/>
                <w:b/>
                <w:sz w:val="28"/>
                <w:szCs w:val="20"/>
              </w:rPr>
              <w:t>YEAR ONE</w:t>
            </w:r>
          </w:p>
        </w:tc>
      </w:tr>
      <w:tr w:rsidR="00862596" w:rsidRPr="00596FB8" w14:paraId="0F232B9F" w14:textId="77777777" w:rsidTr="004C0499">
        <w:trPr>
          <w:trHeight w:val="2105"/>
        </w:trPr>
        <w:tc>
          <w:tcPr>
            <w:tcW w:w="2448" w:type="dxa"/>
          </w:tcPr>
          <w:p w14:paraId="71B9452E" w14:textId="77777777" w:rsidR="00862596" w:rsidRPr="00E62E80" w:rsidRDefault="00862596" w:rsidP="000404E6">
            <w:pPr>
              <w:rPr>
                <w:rFonts w:ascii="Nirmala UI" w:hAnsi="Nirmala UI" w:cs="Nirmala UI"/>
                <w:b/>
                <w:sz w:val="20"/>
                <w:szCs w:val="20"/>
              </w:rPr>
            </w:pPr>
            <w:r w:rsidRPr="00E62E80">
              <w:rPr>
                <w:rFonts w:ascii="Nirmala UI" w:hAnsi="Nirmala UI" w:cs="Nirmala UI"/>
                <w:b/>
                <w:sz w:val="20"/>
                <w:szCs w:val="20"/>
              </w:rPr>
              <w:t>Early Years and Equity, Anti-Racism and Anti-Oppression</w:t>
            </w:r>
          </w:p>
          <w:p w14:paraId="6B9FEC06" w14:textId="77777777" w:rsidR="00862596" w:rsidRPr="00E62E80" w:rsidRDefault="00862596" w:rsidP="000404E6">
            <w:pPr>
              <w:rPr>
                <w:rFonts w:ascii="Nirmala UI" w:hAnsi="Nirmala UI" w:cs="Nirmala UI"/>
                <w:b/>
                <w:sz w:val="20"/>
                <w:szCs w:val="20"/>
              </w:rPr>
            </w:pPr>
          </w:p>
          <w:p w14:paraId="712E8BC0" w14:textId="77777777" w:rsidR="00862596" w:rsidRPr="00E62E80" w:rsidRDefault="00862596" w:rsidP="000404E6">
            <w:pPr>
              <w:rPr>
                <w:rFonts w:ascii="Nirmala UI" w:hAnsi="Nirmala UI" w:cs="Nirmala UI"/>
                <w:b/>
                <w:sz w:val="20"/>
                <w:szCs w:val="20"/>
              </w:rPr>
            </w:pPr>
          </w:p>
          <w:p w14:paraId="21B44268" w14:textId="77777777" w:rsidR="00862596" w:rsidRPr="00E62E80" w:rsidRDefault="00862596" w:rsidP="000404E6">
            <w:pPr>
              <w:rPr>
                <w:rFonts w:ascii="Nirmala UI" w:hAnsi="Nirmala UI" w:cs="Nirmala UI"/>
                <w:b/>
                <w:sz w:val="20"/>
                <w:szCs w:val="20"/>
              </w:rPr>
            </w:pPr>
          </w:p>
          <w:p w14:paraId="1B645AC9" w14:textId="77777777" w:rsidR="00862596" w:rsidRPr="00E62E80" w:rsidRDefault="00862596" w:rsidP="009835FE">
            <w:pPr>
              <w:rPr>
                <w:rFonts w:ascii="Nirmala UI" w:hAnsi="Nirmala UI" w:cs="Nirmala UI"/>
                <w:b/>
                <w:sz w:val="20"/>
                <w:szCs w:val="20"/>
                <w:highlight w:val="green"/>
              </w:rPr>
            </w:pPr>
          </w:p>
        </w:tc>
        <w:tc>
          <w:tcPr>
            <w:tcW w:w="8190" w:type="dxa"/>
          </w:tcPr>
          <w:p w14:paraId="03A566FB" w14:textId="77777777" w:rsidR="00862596" w:rsidRPr="00E62E80" w:rsidRDefault="00862596" w:rsidP="009735A6">
            <w:pPr>
              <w:rPr>
                <w:rFonts w:ascii="Nirmala UI" w:hAnsi="Nirmala UI" w:cs="Nirmala UI"/>
                <w:sz w:val="20"/>
                <w:szCs w:val="20"/>
              </w:rPr>
            </w:pPr>
            <w:r w:rsidRPr="00E62E80">
              <w:rPr>
                <w:rFonts w:ascii="Nirmala UI" w:hAnsi="Nirmala UI" w:cs="Nirmala UI"/>
                <w:sz w:val="20"/>
                <w:szCs w:val="20"/>
              </w:rPr>
              <w:t xml:space="preserve">Early Literacy Intervention Teachers and school-based coaches provide direct daily instruction in reading using evidence-based resources with the goal of improving reading and writing achievement, self-confidence. They also provide in school teacher professional learning in the area of early literacy and effective programming in Kindergarten – Grade 2. The supports in this area also provide training in the areas of equity, anti-racism and anti-oppression with school-based staff in support school improvement goals and ensuring staff have the capacity to identify and respond appropriately to issues of discrimination. </w:t>
            </w:r>
          </w:p>
          <w:p w14:paraId="73FBA40A" w14:textId="72D0D715" w:rsidR="00862596" w:rsidRPr="00E62E80" w:rsidRDefault="00862596" w:rsidP="00F070BD">
            <w:pPr>
              <w:rPr>
                <w:rFonts w:ascii="Nirmala UI" w:hAnsi="Nirmala UI" w:cs="Nirmala UI"/>
                <w:sz w:val="20"/>
                <w:szCs w:val="20"/>
              </w:rPr>
            </w:pPr>
          </w:p>
        </w:tc>
        <w:tc>
          <w:tcPr>
            <w:tcW w:w="1080" w:type="dxa"/>
          </w:tcPr>
          <w:p w14:paraId="19563DCB" w14:textId="77777777" w:rsidR="00862596" w:rsidRPr="00E62E80" w:rsidRDefault="00862596" w:rsidP="00DE0C8F">
            <w:pPr>
              <w:jc w:val="right"/>
              <w:rPr>
                <w:rFonts w:ascii="Nirmala UI" w:hAnsi="Nirmala UI" w:cs="Nirmala UI"/>
                <w:b/>
                <w:sz w:val="20"/>
                <w:szCs w:val="20"/>
              </w:rPr>
            </w:pPr>
            <w:r w:rsidRPr="00E62E80">
              <w:rPr>
                <w:rFonts w:ascii="Nirmala UI" w:hAnsi="Nirmala UI" w:cs="Nirmala UI"/>
                <w:b/>
                <w:sz w:val="20"/>
                <w:szCs w:val="20"/>
              </w:rPr>
              <w:t>47.0</w:t>
            </w:r>
          </w:p>
          <w:p w14:paraId="024EFB7B" w14:textId="77777777" w:rsidR="00862596" w:rsidRPr="00E62E80" w:rsidRDefault="00862596" w:rsidP="00DE0C8F">
            <w:pPr>
              <w:jc w:val="right"/>
              <w:rPr>
                <w:rFonts w:ascii="Nirmala UI" w:hAnsi="Nirmala UI" w:cs="Nirmala UI"/>
                <w:b/>
                <w:sz w:val="20"/>
                <w:szCs w:val="20"/>
                <w:highlight w:val="yellow"/>
              </w:rPr>
            </w:pPr>
          </w:p>
        </w:tc>
        <w:tc>
          <w:tcPr>
            <w:tcW w:w="1530" w:type="dxa"/>
          </w:tcPr>
          <w:p w14:paraId="2EC9CF51" w14:textId="0195B113" w:rsidR="00862596" w:rsidRPr="00E62E80" w:rsidRDefault="00862596" w:rsidP="00DE0C8F">
            <w:pPr>
              <w:jc w:val="right"/>
              <w:rPr>
                <w:rFonts w:ascii="Nirmala UI" w:hAnsi="Nirmala UI" w:cs="Nirmala UI"/>
                <w:b/>
                <w:sz w:val="20"/>
                <w:szCs w:val="20"/>
              </w:rPr>
            </w:pPr>
            <w:r w:rsidRPr="00E62E80">
              <w:rPr>
                <w:rFonts w:ascii="Nirmala UI" w:hAnsi="Nirmala UI" w:cs="Nirmala UI"/>
                <w:b/>
                <w:sz w:val="20"/>
                <w:szCs w:val="20"/>
              </w:rPr>
              <w:t>$4.9M</w:t>
            </w:r>
          </w:p>
        </w:tc>
      </w:tr>
      <w:tr w:rsidR="00862596" w:rsidRPr="00596FB8" w14:paraId="47AA9358" w14:textId="77777777" w:rsidTr="004C0499">
        <w:trPr>
          <w:trHeight w:val="593"/>
        </w:trPr>
        <w:tc>
          <w:tcPr>
            <w:tcW w:w="2448" w:type="dxa"/>
          </w:tcPr>
          <w:p w14:paraId="1BD3230E" w14:textId="77777777" w:rsidR="00862596" w:rsidRPr="00E62E80" w:rsidRDefault="00862596" w:rsidP="00CA234A">
            <w:pPr>
              <w:rPr>
                <w:rFonts w:ascii="Nirmala UI" w:hAnsi="Nirmala UI" w:cs="Nirmala UI"/>
                <w:b/>
                <w:sz w:val="20"/>
                <w:szCs w:val="20"/>
                <w:highlight w:val="green"/>
              </w:rPr>
            </w:pPr>
            <w:r w:rsidRPr="00E62E80">
              <w:rPr>
                <w:rFonts w:ascii="Nirmala UI" w:hAnsi="Nirmala UI" w:cs="Nirmala UI"/>
                <w:b/>
                <w:sz w:val="20"/>
                <w:szCs w:val="20"/>
              </w:rPr>
              <w:t>Learning Centres</w:t>
            </w:r>
          </w:p>
        </w:tc>
        <w:tc>
          <w:tcPr>
            <w:tcW w:w="8190" w:type="dxa"/>
          </w:tcPr>
          <w:p w14:paraId="7B6C60D4" w14:textId="77777777" w:rsidR="00862596" w:rsidRPr="00E62E80" w:rsidRDefault="00862596" w:rsidP="009735A6">
            <w:pPr>
              <w:rPr>
                <w:rFonts w:ascii="Nirmala UI" w:hAnsi="Nirmala UI" w:cs="Nirmala UI"/>
                <w:sz w:val="20"/>
                <w:szCs w:val="20"/>
              </w:rPr>
            </w:pPr>
            <w:r w:rsidRPr="00E62E80">
              <w:rPr>
                <w:rFonts w:ascii="Nirmala UI" w:hAnsi="Nirmala UI" w:cs="Nirmala UI"/>
                <w:sz w:val="20"/>
                <w:szCs w:val="20"/>
              </w:rPr>
              <w:t xml:space="preserve">The Learning Centre staff work closely with Principals and Superintendents to ensure schools are able to deliver on their school improvement goals.  All Learning Centre staff work to ensure that the commitment of the Multi-Year Strategic Plan/Action Plans are integrated seamlessly into what is happening in schools.   Areas of focus include guidance, mathematics, early reading, global competencies, student voice, and technology.  </w:t>
            </w:r>
          </w:p>
          <w:p w14:paraId="0DF48404" w14:textId="5B261649" w:rsidR="00862596" w:rsidRPr="00E62E80" w:rsidRDefault="00862596" w:rsidP="00CA234A">
            <w:pPr>
              <w:rPr>
                <w:rFonts w:ascii="Nirmala UI" w:hAnsi="Nirmala UI" w:cs="Nirmala UI"/>
                <w:sz w:val="20"/>
                <w:szCs w:val="20"/>
              </w:rPr>
            </w:pPr>
          </w:p>
        </w:tc>
        <w:tc>
          <w:tcPr>
            <w:tcW w:w="1080" w:type="dxa"/>
          </w:tcPr>
          <w:p w14:paraId="3EA3F795" w14:textId="455FE18E" w:rsidR="00862596" w:rsidRPr="00E62E80" w:rsidRDefault="00862596" w:rsidP="00324982">
            <w:pPr>
              <w:jc w:val="right"/>
              <w:rPr>
                <w:rFonts w:ascii="Nirmala UI" w:hAnsi="Nirmala UI" w:cs="Nirmala UI"/>
                <w:b/>
                <w:sz w:val="20"/>
                <w:szCs w:val="20"/>
              </w:rPr>
            </w:pPr>
            <w:r w:rsidRPr="00E62E80">
              <w:rPr>
                <w:rFonts w:ascii="Nirmala UI" w:hAnsi="Nirmala UI" w:cs="Nirmala UI"/>
                <w:b/>
                <w:sz w:val="20"/>
                <w:szCs w:val="20"/>
              </w:rPr>
              <w:t>125.0</w:t>
            </w:r>
          </w:p>
        </w:tc>
        <w:tc>
          <w:tcPr>
            <w:tcW w:w="1530" w:type="dxa"/>
          </w:tcPr>
          <w:p w14:paraId="66362EB4" w14:textId="5441527C" w:rsidR="00862596" w:rsidRPr="00E62E80" w:rsidRDefault="00862596" w:rsidP="00D5121E">
            <w:pPr>
              <w:jc w:val="right"/>
              <w:rPr>
                <w:rFonts w:ascii="Nirmala UI" w:hAnsi="Nirmala UI" w:cs="Nirmala UI"/>
                <w:b/>
                <w:sz w:val="20"/>
                <w:szCs w:val="20"/>
              </w:rPr>
            </w:pPr>
            <w:r w:rsidRPr="00E62E80">
              <w:rPr>
                <w:rFonts w:ascii="Nirmala UI" w:hAnsi="Nirmala UI" w:cs="Nirmala UI"/>
                <w:b/>
                <w:sz w:val="20"/>
                <w:szCs w:val="20"/>
              </w:rPr>
              <w:t>$13.8M</w:t>
            </w:r>
          </w:p>
        </w:tc>
      </w:tr>
      <w:tr w:rsidR="00862596" w:rsidRPr="00596FB8" w14:paraId="1DBE39A5" w14:textId="77777777" w:rsidTr="00472A5E">
        <w:trPr>
          <w:trHeight w:val="62"/>
        </w:trPr>
        <w:tc>
          <w:tcPr>
            <w:tcW w:w="2448" w:type="dxa"/>
          </w:tcPr>
          <w:p w14:paraId="0D083852" w14:textId="77777777" w:rsidR="00862596" w:rsidRPr="00E62E80" w:rsidRDefault="00862596" w:rsidP="004966FF">
            <w:pPr>
              <w:rPr>
                <w:rFonts w:ascii="Nirmala UI" w:hAnsi="Nirmala UI" w:cs="Nirmala UI"/>
                <w:b/>
                <w:sz w:val="20"/>
                <w:szCs w:val="20"/>
              </w:rPr>
            </w:pPr>
            <w:r w:rsidRPr="00E62E80">
              <w:rPr>
                <w:rFonts w:ascii="Nirmala UI" w:hAnsi="Nirmala UI" w:cs="Nirmala UI"/>
                <w:b/>
                <w:sz w:val="20"/>
                <w:szCs w:val="20"/>
              </w:rPr>
              <w:t>Student Voice, Parent and Community Engagement and Well-Being</w:t>
            </w:r>
          </w:p>
          <w:p w14:paraId="30281692" w14:textId="13D9D20F" w:rsidR="00862596" w:rsidRPr="00E62E80" w:rsidRDefault="00862596" w:rsidP="004966FF">
            <w:pPr>
              <w:rPr>
                <w:rFonts w:ascii="Nirmala UI" w:hAnsi="Nirmala UI" w:cs="Nirmala UI"/>
                <w:b/>
                <w:sz w:val="20"/>
                <w:szCs w:val="20"/>
                <w:highlight w:val="green"/>
              </w:rPr>
            </w:pPr>
          </w:p>
        </w:tc>
        <w:tc>
          <w:tcPr>
            <w:tcW w:w="8190" w:type="dxa"/>
          </w:tcPr>
          <w:p w14:paraId="2ADEA379" w14:textId="77777777" w:rsidR="00862596" w:rsidRPr="00E62E80" w:rsidRDefault="00862596" w:rsidP="009735A6">
            <w:pPr>
              <w:rPr>
                <w:rFonts w:ascii="Nirmala UI" w:hAnsi="Nirmala UI" w:cs="Nirmala UI"/>
                <w:b/>
                <w:sz w:val="20"/>
                <w:szCs w:val="20"/>
              </w:rPr>
            </w:pPr>
            <w:r w:rsidRPr="00E62E80">
              <w:rPr>
                <w:rFonts w:ascii="Nirmala UI" w:hAnsi="Nirmala UI" w:cs="Nirmala UI"/>
                <w:b/>
                <w:sz w:val="20"/>
                <w:szCs w:val="20"/>
              </w:rPr>
              <w:t xml:space="preserve">Student Support Services </w:t>
            </w:r>
          </w:p>
          <w:p w14:paraId="3A3212A7" w14:textId="77777777" w:rsidR="00862596" w:rsidRPr="00E62E80" w:rsidRDefault="00862596" w:rsidP="009735A6">
            <w:pPr>
              <w:rPr>
                <w:rFonts w:ascii="Nirmala UI" w:hAnsi="Nirmala UI" w:cs="Nirmala UI"/>
                <w:sz w:val="20"/>
                <w:szCs w:val="20"/>
              </w:rPr>
            </w:pPr>
            <w:r w:rsidRPr="00E62E80">
              <w:rPr>
                <w:rFonts w:ascii="Nirmala UI" w:hAnsi="Nirmala UI" w:cs="Nirmala UI"/>
                <w:sz w:val="20"/>
                <w:szCs w:val="20"/>
              </w:rPr>
              <w:t>The TDSB offers a variety of professional student support services and where appropriate, they also work with staff.  Other services provided include attendance counselling, assessment, counselling, mental health education, crisis intervention and support.</w:t>
            </w:r>
          </w:p>
          <w:p w14:paraId="0CF69909" w14:textId="2E026543" w:rsidR="00862596" w:rsidRPr="00E62E80" w:rsidRDefault="00862596" w:rsidP="00C039F9">
            <w:pPr>
              <w:rPr>
                <w:rFonts w:ascii="Nirmala UI" w:hAnsi="Nirmala UI" w:cs="Nirmala UI"/>
                <w:sz w:val="20"/>
                <w:szCs w:val="20"/>
              </w:rPr>
            </w:pPr>
            <w:r w:rsidRPr="00E62E80">
              <w:rPr>
                <w:rFonts w:ascii="Nirmala UI" w:hAnsi="Nirmala UI" w:cs="Nirmala UI"/>
                <w:sz w:val="20"/>
                <w:szCs w:val="20"/>
              </w:rPr>
              <w:t xml:space="preserve"> </w:t>
            </w:r>
          </w:p>
        </w:tc>
        <w:tc>
          <w:tcPr>
            <w:tcW w:w="1080" w:type="dxa"/>
            <w:shd w:val="clear" w:color="auto" w:fill="FFFFFF" w:themeFill="background1"/>
          </w:tcPr>
          <w:p w14:paraId="7D4E3385" w14:textId="08E89FCB"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91.0</w:t>
            </w:r>
          </w:p>
        </w:tc>
        <w:tc>
          <w:tcPr>
            <w:tcW w:w="1530" w:type="dxa"/>
            <w:shd w:val="clear" w:color="auto" w:fill="FFFFFF" w:themeFill="background1"/>
          </w:tcPr>
          <w:p w14:paraId="4B3079D2" w14:textId="36E48259" w:rsidR="00862596" w:rsidRPr="00E62E80" w:rsidRDefault="00862596" w:rsidP="00A1154E">
            <w:pPr>
              <w:jc w:val="right"/>
              <w:rPr>
                <w:rFonts w:ascii="Nirmala UI" w:hAnsi="Nirmala UI" w:cs="Nirmala UI"/>
                <w:b/>
                <w:sz w:val="20"/>
                <w:szCs w:val="20"/>
              </w:rPr>
            </w:pPr>
            <w:r w:rsidRPr="00E62E80">
              <w:rPr>
                <w:rFonts w:ascii="Nirmala UI" w:hAnsi="Nirmala UI" w:cs="Nirmala UI"/>
                <w:b/>
                <w:sz w:val="20"/>
                <w:szCs w:val="20"/>
              </w:rPr>
              <w:t>$8.0M</w:t>
            </w:r>
          </w:p>
        </w:tc>
      </w:tr>
      <w:tr w:rsidR="00862596" w:rsidRPr="00596FB8" w14:paraId="330908EC" w14:textId="77777777" w:rsidTr="004C0499">
        <w:trPr>
          <w:trHeight w:val="62"/>
        </w:trPr>
        <w:tc>
          <w:tcPr>
            <w:tcW w:w="2448" w:type="dxa"/>
          </w:tcPr>
          <w:p w14:paraId="4B3D8DC0" w14:textId="77777777" w:rsidR="00862596" w:rsidRPr="00E62E80" w:rsidRDefault="00862596" w:rsidP="0091756F">
            <w:pPr>
              <w:rPr>
                <w:rFonts w:ascii="Nirmala UI" w:hAnsi="Nirmala UI" w:cs="Nirmala UI"/>
                <w:b/>
                <w:sz w:val="20"/>
                <w:szCs w:val="20"/>
              </w:rPr>
            </w:pPr>
            <w:r w:rsidRPr="00E62E80">
              <w:rPr>
                <w:rFonts w:ascii="Nirmala UI" w:hAnsi="Nirmala UI" w:cs="Nirmala UI"/>
                <w:b/>
                <w:sz w:val="20"/>
                <w:szCs w:val="20"/>
              </w:rPr>
              <w:t>Student Voice, Parent and Community Engagement and Well-Being</w:t>
            </w:r>
          </w:p>
          <w:p w14:paraId="10D97C6E" w14:textId="0F654F80" w:rsidR="00862596" w:rsidRPr="00E62E80" w:rsidRDefault="00862596" w:rsidP="0091756F">
            <w:pPr>
              <w:rPr>
                <w:rFonts w:ascii="Nirmala UI" w:hAnsi="Nirmala UI" w:cs="Nirmala UI"/>
                <w:b/>
                <w:sz w:val="20"/>
                <w:szCs w:val="20"/>
              </w:rPr>
            </w:pPr>
          </w:p>
        </w:tc>
        <w:tc>
          <w:tcPr>
            <w:tcW w:w="8190" w:type="dxa"/>
          </w:tcPr>
          <w:p w14:paraId="1819329A" w14:textId="77777777" w:rsidR="00862596" w:rsidRPr="00E62E80" w:rsidRDefault="00862596" w:rsidP="009735A6">
            <w:pPr>
              <w:rPr>
                <w:rFonts w:ascii="Nirmala UI" w:hAnsi="Nirmala UI" w:cs="Nirmala UI"/>
                <w:b/>
                <w:sz w:val="20"/>
                <w:szCs w:val="20"/>
              </w:rPr>
            </w:pPr>
            <w:r w:rsidRPr="00E62E80">
              <w:rPr>
                <w:rFonts w:ascii="Nirmala UI" w:hAnsi="Nirmala UI" w:cs="Nirmala UI"/>
                <w:b/>
                <w:sz w:val="20"/>
                <w:szCs w:val="20"/>
              </w:rPr>
              <w:t xml:space="preserve">Interpretation and Translation Services </w:t>
            </w:r>
          </w:p>
          <w:p w14:paraId="02874B2D" w14:textId="19B6F1F3" w:rsidR="00862596" w:rsidRPr="00E62E80" w:rsidRDefault="00862596" w:rsidP="007A7B7F">
            <w:pPr>
              <w:rPr>
                <w:rFonts w:ascii="Nirmala UI" w:hAnsi="Nirmala UI" w:cs="Nirmala UI"/>
                <w:sz w:val="20"/>
                <w:szCs w:val="20"/>
              </w:rPr>
            </w:pPr>
            <w:r w:rsidRPr="00E62E80">
              <w:rPr>
                <w:rFonts w:ascii="Nirmala UI" w:hAnsi="Nirmala UI" w:cs="Nirmala UI"/>
                <w:sz w:val="20"/>
                <w:szCs w:val="20"/>
              </w:rPr>
              <w:t>This expenditure represents budget for hiring interpretation and translation services to improve communication with families (e.g., parent-teacher conferences, ward forums).</w:t>
            </w:r>
          </w:p>
        </w:tc>
        <w:tc>
          <w:tcPr>
            <w:tcW w:w="1080" w:type="dxa"/>
            <w:shd w:val="clear" w:color="auto" w:fill="FFFFFF" w:themeFill="background1"/>
          </w:tcPr>
          <w:p w14:paraId="4771ABF5" w14:textId="5F8BD0C5" w:rsidR="00862596" w:rsidRPr="00E62E80" w:rsidRDefault="00862596" w:rsidP="00E62E80">
            <w:pPr>
              <w:jc w:val="center"/>
              <w:rPr>
                <w:rFonts w:ascii="Nirmala UI" w:hAnsi="Nirmala UI" w:cs="Nirmala UI"/>
                <w:b/>
                <w:sz w:val="20"/>
                <w:szCs w:val="20"/>
                <w:highlight w:val="yellow"/>
              </w:rPr>
            </w:pPr>
            <w:r w:rsidRPr="00E62E80">
              <w:rPr>
                <w:rFonts w:ascii="Nirmala UI" w:hAnsi="Nirmala UI" w:cs="Nirmala UI"/>
                <w:b/>
                <w:sz w:val="20"/>
                <w:szCs w:val="20"/>
              </w:rPr>
              <w:t>N/A</w:t>
            </w:r>
          </w:p>
        </w:tc>
        <w:tc>
          <w:tcPr>
            <w:tcW w:w="1530" w:type="dxa"/>
          </w:tcPr>
          <w:p w14:paraId="7B2AC65E" w14:textId="496AFA80"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$0.5M</w:t>
            </w:r>
          </w:p>
        </w:tc>
      </w:tr>
      <w:tr w:rsidR="00862596" w:rsidRPr="00596FB8" w14:paraId="2E45DC00" w14:textId="77777777" w:rsidTr="004C0499">
        <w:trPr>
          <w:trHeight w:val="818"/>
        </w:trPr>
        <w:tc>
          <w:tcPr>
            <w:tcW w:w="2448" w:type="dxa"/>
          </w:tcPr>
          <w:p w14:paraId="0147AEBC" w14:textId="30E6C23B" w:rsidR="00862596" w:rsidRPr="00E62E80" w:rsidRDefault="00862596" w:rsidP="00740339">
            <w:pPr>
              <w:rPr>
                <w:rFonts w:ascii="Nirmala UI" w:hAnsi="Nirmala UI" w:cs="Nirmala UI"/>
                <w:b/>
                <w:sz w:val="20"/>
                <w:szCs w:val="20"/>
              </w:rPr>
            </w:pPr>
            <w:r w:rsidRPr="00E62E80">
              <w:rPr>
                <w:rFonts w:ascii="Nirmala UI" w:hAnsi="Nirmala UI" w:cs="Nirmala UI"/>
                <w:b/>
                <w:sz w:val="20"/>
                <w:szCs w:val="20"/>
              </w:rPr>
              <w:t>Model Schools</w:t>
            </w:r>
          </w:p>
        </w:tc>
        <w:tc>
          <w:tcPr>
            <w:tcW w:w="8190" w:type="dxa"/>
          </w:tcPr>
          <w:p w14:paraId="5635BBE8" w14:textId="77777777" w:rsidR="00862596" w:rsidRPr="00E62E80" w:rsidRDefault="00862596" w:rsidP="009735A6">
            <w:pPr>
              <w:rPr>
                <w:rFonts w:ascii="Nirmala UI" w:hAnsi="Nirmala UI" w:cs="Nirmala UI"/>
                <w:sz w:val="20"/>
                <w:szCs w:val="20"/>
              </w:rPr>
            </w:pPr>
            <w:r w:rsidRPr="00E62E80">
              <w:rPr>
                <w:rFonts w:ascii="Nirmala UI" w:hAnsi="Nirmala UI" w:cs="Nirmala UI"/>
                <w:sz w:val="20"/>
                <w:szCs w:val="20"/>
              </w:rPr>
              <w:t>Model Schools serve 150 schools identified using the LOI as needing differentiated support.  This area includes operational expenditures associated with program, financial support to schools for student programs and field trips, etc.</w:t>
            </w:r>
          </w:p>
          <w:p w14:paraId="36071746" w14:textId="66768420" w:rsidR="00862596" w:rsidRPr="00E62E80" w:rsidRDefault="00862596" w:rsidP="00C541EF">
            <w:pPr>
              <w:tabs>
                <w:tab w:val="left" w:pos="480"/>
              </w:tabs>
              <w:rPr>
                <w:rFonts w:ascii="Nirmala UI" w:hAnsi="Nirmala UI" w:cs="Nirmala UI"/>
                <w:sz w:val="20"/>
                <w:szCs w:val="20"/>
              </w:rPr>
            </w:pPr>
            <w:r w:rsidRPr="00E62E80">
              <w:rPr>
                <w:rFonts w:ascii="Nirmala UI" w:hAnsi="Nirmala UI" w:cs="Nirmala UI"/>
                <w:sz w:val="20"/>
                <w:szCs w:val="20"/>
              </w:rPr>
              <w:tab/>
            </w:r>
          </w:p>
        </w:tc>
        <w:tc>
          <w:tcPr>
            <w:tcW w:w="1080" w:type="dxa"/>
          </w:tcPr>
          <w:p w14:paraId="114686F6" w14:textId="11D50390"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25.0</w:t>
            </w:r>
          </w:p>
        </w:tc>
        <w:tc>
          <w:tcPr>
            <w:tcW w:w="1530" w:type="dxa"/>
          </w:tcPr>
          <w:p w14:paraId="6B3368BC" w14:textId="51BBA675" w:rsidR="00862596" w:rsidRPr="00E62E80" w:rsidRDefault="00862596" w:rsidP="00C37DA0">
            <w:pPr>
              <w:jc w:val="right"/>
              <w:rPr>
                <w:rFonts w:ascii="Nirmala UI" w:hAnsi="Nirmala UI" w:cs="Nirmala UI"/>
                <w:b/>
                <w:sz w:val="20"/>
                <w:szCs w:val="20"/>
              </w:rPr>
            </w:pPr>
            <w:r w:rsidRPr="00E62E80">
              <w:rPr>
                <w:rFonts w:ascii="Nirmala UI" w:hAnsi="Nirmala UI" w:cs="Nirmala UI"/>
                <w:b/>
                <w:sz w:val="20"/>
                <w:szCs w:val="20"/>
              </w:rPr>
              <w:t>$6.2M</w:t>
            </w:r>
          </w:p>
        </w:tc>
      </w:tr>
      <w:tr w:rsidR="009D23C1" w:rsidRPr="00596FB8" w14:paraId="2612D4C1" w14:textId="77777777" w:rsidTr="004C0499">
        <w:tc>
          <w:tcPr>
            <w:tcW w:w="2448" w:type="dxa"/>
          </w:tcPr>
          <w:p w14:paraId="63C7D9C1" w14:textId="609A3715" w:rsidR="009D23C1" w:rsidRPr="00E62E80" w:rsidRDefault="00EA3EA1" w:rsidP="00740339">
            <w:pPr>
              <w:rPr>
                <w:rFonts w:ascii="Nirmala UI" w:hAnsi="Nirmala UI" w:cs="Nirmala UI"/>
                <w:b/>
                <w:sz w:val="20"/>
                <w:szCs w:val="20"/>
              </w:rPr>
            </w:pPr>
            <w:r w:rsidRPr="00E62E80">
              <w:rPr>
                <w:rFonts w:ascii="Nirmala UI" w:hAnsi="Nirmala UI" w:cs="Nirmala UI"/>
                <w:b/>
                <w:sz w:val="20"/>
                <w:szCs w:val="20"/>
              </w:rPr>
              <w:t xml:space="preserve">Research and </w:t>
            </w:r>
            <w:r w:rsidR="009D23C1" w:rsidRPr="00E62E80">
              <w:rPr>
                <w:rFonts w:ascii="Nirmala UI" w:hAnsi="Nirmala UI" w:cs="Nirmala UI"/>
                <w:b/>
                <w:sz w:val="20"/>
                <w:szCs w:val="20"/>
              </w:rPr>
              <w:t>Information Services</w:t>
            </w:r>
          </w:p>
        </w:tc>
        <w:tc>
          <w:tcPr>
            <w:tcW w:w="8190" w:type="dxa"/>
          </w:tcPr>
          <w:p w14:paraId="04F9B75B" w14:textId="660DE90A" w:rsidR="00EA3EA1" w:rsidRPr="00E62E80" w:rsidRDefault="009D23C1" w:rsidP="00C37DA0">
            <w:pPr>
              <w:rPr>
                <w:rFonts w:ascii="Nirmala UI" w:hAnsi="Nirmala UI" w:cs="Nirmala UI"/>
                <w:sz w:val="20"/>
                <w:szCs w:val="20"/>
              </w:rPr>
            </w:pPr>
            <w:r w:rsidRPr="00E62E80">
              <w:rPr>
                <w:rFonts w:ascii="Nirmala UI" w:hAnsi="Nirmala UI" w:cs="Nirmala UI"/>
                <w:sz w:val="20"/>
                <w:szCs w:val="20"/>
              </w:rPr>
              <w:t>Support system data collection, research, and analysis to support system and Ministry priorities</w:t>
            </w:r>
            <w:r w:rsidR="00E428DA" w:rsidRPr="00E62E80">
              <w:rPr>
                <w:rFonts w:ascii="Nirmala UI" w:hAnsi="Nirmala UI" w:cs="Nirmala UI"/>
                <w:sz w:val="20"/>
                <w:szCs w:val="20"/>
              </w:rPr>
              <w:t>.</w:t>
            </w:r>
          </w:p>
        </w:tc>
        <w:tc>
          <w:tcPr>
            <w:tcW w:w="1080" w:type="dxa"/>
          </w:tcPr>
          <w:p w14:paraId="317238BC" w14:textId="33F677AA" w:rsidR="009D23C1" w:rsidRPr="00E62E80" w:rsidRDefault="009D23C1" w:rsidP="00675A14">
            <w:pPr>
              <w:jc w:val="right"/>
              <w:rPr>
                <w:rFonts w:ascii="Nirmala UI" w:hAnsi="Nirmala UI" w:cs="Nirmala UI"/>
                <w:b/>
                <w:sz w:val="20"/>
                <w:szCs w:val="20"/>
              </w:rPr>
            </w:pPr>
            <w:r w:rsidRPr="00E62E80">
              <w:rPr>
                <w:rFonts w:ascii="Nirmala UI" w:hAnsi="Nirmala UI" w:cs="Nirmala UI"/>
                <w:b/>
                <w:sz w:val="20"/>
                <w:szCs w:val="20"/>
              </w:rPr>
              <w:t>14.0</w:t>
            </w:r>
          </w:p>
        </w:tc>
        <w:tc>
          <w:tcPr>
            <w:tcW w:w="1530" w:type="dxa"/>
          </w:tcPr>
          <w:p w14:paraId="79329F36" w14:textId="3B008EE8" w:rsidR="009D23C1" w:rsidRPr="00E62E80" w:rsidRDefault="009D23C1" w:rsidP="00C37DA0">
            <w:pPr>
              <w:jc w:val="right"/>
              <w:rPr>
                <w:rFonts w:ascii="Nirmala UI" w:hAnsi="Nirmala UI" w:cs="Nirmala UI"/>
                <w:b/>
                <w:sz w:val="20"/>
                <w:szCs w:val="20"/>
              </w:rPr>
            </w:pPr>
            <w:r w:rsidRPr="00E62E80">
              <w:rPr>
                <w:rFonts w:ascii="Nirmala UI" w:hAnsi="Nirmala UI" w:cs="Nirmala UI"/>
                <w:b/>
                <w:sz w:val="20"/>
                <w:szCs w:val="20"/>
              </w:rPr>
              <w:t>$1.</w:t>
            </w:r>
            <w:r w:rsidR="00C37DA0" w:rsidRPr="00E62E80">
              <w:rPr>
                <w:rFonts w:ascii="Nirmala UI" w:hAnsi="Nirmala UI" w:cs="Nirmala UI"/>
                <w:b/>
                <w:sz w:val="20"/>
                <w:szCs w:val="20"/>
              </w:rPr>
              <w:t>9</w:t>
            </w:r>
            <w:r w:rsidRPr="00E62E80">
              <w:rPr>
                <w:rFonts w:ascii="Nirmala UI" w:hAnsi="Nirmala UI" w:cs="Nirmala UI"/>
                <w:b/>
                <w:sz w:val="20"/>
                <w:szCs w:val="20"/>
              </w:rPr>
              <w:t>M</w:t>
            </w:r>
          </w:p>
        </w:tc>
      </w:tr>
      <w:tr w:rsidR="00862596" w:rsidRPr="00596FB8" w14:paraId="7609949B" w14:textId="77777777" w:rsidTr="004C0499">
        <w:trPr>
          <w:trHeight w:val="1286"/>
        </w:trPr>
        <w:tc>
          <w:tcPr>
            <w:tcW w:w="2448" w:type="dxa"/>
          </w:tcPr>
          <w:p w14:paraId="436B4A27" w14:textId="75D7DB8F" w:rsidR="00862596" w:rsidRPr="00E62E80" w:rsidRDefault="00862596" w:rsidP="00740339">
            <w:pPr>
              <w:rPr>
                <w:rFonts w:ascii="Nirmala UI" w:hAnsi="Nirmala UI" w:cs="Nirmala UI"/>
                <w:b/>
                <w:sz w:val="20"/>
                <w:szCs w:val="20"/>
                <w:highlight w:val="green"/>
              </w:rPr>
            </w:pPr>
            <w:r w:rsidRPr="00E62E80">
              <w:rPr>
                <w:rFonts w:ascii="Nirmala UI" w:hAnsi="Nirmala UI" w:cs="Nirmala UI"/>
                <w:b/>
                <w:sz w:val="20"/>
                <w:szCs w:val="20"/>
              </w:rPr>
              <w:lastRenderedPageBreak/>
              <w:t>Leadership and Learning</w:t>
            </w:r>
          </w:p>
        </w:tc>
        <w:tc>
          <w:tcPr>
            <w:tcW w:w="8190" w:type="dxa"/>
          </w:tcPr>
          <w:p w14:paraId="2ABEAB1D" w14:textId="77777777" w:rsidR="00862596" w:rsidRPr="00E62E80" w:rsidRDefault="00862596" w:rsidP="009735A6">
            <w:pPr>
              <w:rPr>
                <w:rFonts w:ascii="Nirmala UI" w:hAnsi="Nirmala UI" w:cs="Nirmala UI"/>
                <w:sz w:val="20"/>
                <w:szCs w:val="20"/>
              </w:rPr>
            </w:pPr>
            <w:r w:rsidRPr="00E62E80">
              <w:rPr>
                <w:rFonts w:ascii="Nirmala UI" w:hAnsi="Nirmala UI" w:cs="Nirmala UI"/>
                <w:sz w:val="20"/>
                <w:szCs w:val="20"/>
              </w:rPr>
              <w:t xml:space="preserve">Personnel in Leadership and Learning work directly with classroom teachers, and school and system leaders to support the areas in our Multi-Year Strategic Plan.  Program implementation, monitoring, and reporting are key functions of the team.  The team works with educators and leaders on professional development in a variety of curriculum areas.  The team consists of centrally assigned teachers who also support student events and performances.  The Professional Library supports educator and leader learning along with direct support for school libraries and virtual field trips for students to support the development of global competencies. </w:t>
            </w:r>
          </w:p>
          <w:p w14:paraId="06088EFE" w14:textId="0E28F7A4" w:rsidR="00862596" w:rsidRPr="00E62E80" w:rsidRDefault="00862596" w:rsidP="00000CB6">
            <w:pPr>
              <w:rPr>
                <w:rFonts w:ascii="Nirmala UI" w:hAnsi="Nirmala UI" w:cs="Nirmala UI"/>
                <w:sz w:val="20"/>
                <w:szCs w:val="20"/>
              </w:rPr>
            </w:pPr>
          </w:p>
        </w:tc>
        <w:tc>
          <w:tcPr>
            <w:tcW w:w="1080" w:type="dxa"/>
          </w:tcPr>
          <w:p w14:paraId="3212E7E9" w14:textId="01F8D2F4"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75.0</w:t>
            </w:r>
          </w:p>
        </w:tc>
        <w:tc>
          <w:tcPr>
            <w:tcW w:w="1530" w:type="dxa"/>
          </w:tcPr>
          <w:p w14:paraId="60A6B20D" w14:textId="3AEC3CE0" w:rsidR="00862596" w:rsidRPr="00E62E80" w:rsidRDefault="00862596" w:rsidP="00C37DA0">
            <w:pPr>
              <w:jc w:val="right"/>
              <w:rPr>
                <w:rFonts w:ascii="Nirmala UI" w:hAnsi="Nirmala UI" w:cs="Nirmala UI"/>
                <w:b/>
                <w:sz w:val="20"/>
                <w:szCs w:val="20"/>
              </w:rPr>
            </w:pPr>
            <w:r w:rsidRPr="00E62E80">
              <w:rPr>
                <w:rFonts w:ascii="Nirmala UI" w:hAnsi="Nirmala UI" w:cs="Nirmala UI"/>
                <w:b/>
                <w:sz w:val="20"/>
                <w:szCs w:val="20"/>
              </w:rPr>
              <w:t>$7.4M</w:t>
            </w:r>
          </w:p>
        </w:tc>
      </w:tr>
      <w:tr w:rsidR="00862596" w:rsidRPr="00596FB8" w14:paraId="7C632A10" w14:textId="77777777" w:rsidTr="004C0499">
        <w:trPr>
          <w:trHeight w:val="47"/>
        </w:trPr>
        <w:tc>
          <w:tcPr>
            <w:tcW w:w="2448" w:type="dxa"/>
          </w:tcPr>
          <w:p w14:paraId="13BA7813" w14:textId="1AC78E93" w:rsidR="00862596" w:rsidRPr="00E62E80" w:rsidRDefault="00862596" w:rsidP="00740339">
            <w:pPr>
              <w:rPr>
                <w:rFonts w:ascii="Nirmala UI" w:hAnsi="Nirmala UI" w:cs="Nirmala UI"/>
                <w:b/>
                <w:sz w:val="20"/>
                <w:szCs w:val="20"/>
                <w:highlight w:val="green"/>
              </w:rPr>
            </w:pPr>
            <w:r w:rsidRPr="00E62E80">
              <w:rPr>
                <w:rFonts w:ascii="Nirmala UI" w:hAnsi="Nirmala UI" w:cs="Nirmala UI"/>
                <w:b/>
                <w:sz w:val="20"/>
                <w:szCs w:val="20"/>
              </w:rPr>
              <w:t xml:space="preserve">Special Education </w:t>
            </w:r>
          </w:p>
        </w:tc>
        <w:tc>
          <w:tcPr>
            <w:tcW w:w="8190" w:type="dxa"/>
          </w:tcPr>
          <w:p w14:paraId="6FB7460F" w14:textId="77777777" w:rsidR="00862596" w:rsidRPr="00E62E80" w:rsidRDefault="00862596" w:rsidP="009735A6">
            <w:pPr>
              <w:rPr>
                <w:rFonts w:ascii="Nirmala UI" w:hAnsi="Nirmala UI" w:cs="Nirmala UI"/>
                <w:sz w:val="20"/>
                <w:szCs w:val="20"/>
              </w:rPr>
            </w:pPr>
            <w:r w:rsidRPr="00E62E80">
              <w:rPr>
                <w:rFonts w:ascii="Nirmala UI" w:hAnsi="Nirmala UI" w:cs="Nirmala UI"/>
                <w:sz w:val="20"/>
                <w:szCs w:val="20"/>
              </w:rPr>
              <w:t>Special Education staff support students with Special Education needs and supports staff in professional learning, assessments, communication with parents and guardians, liaising with agencies, and meeting Ministry requirements.  The central team works directly with both students and classroom and school staff to ensure positive outcomes for students and a level of capacity of our staff to meet the needs of students with Special Education needs.</w:t>
            </w:r>
          </w:p>
          <w:p w14:paraId="739D29EC" w14:textId="75ECA946" w:rsidR="00862596" w:rsidRPr="00E62E80" w:rsidRDefault="00862596" w:rsidP="00740339">
            <w:pPr>
              <w:rPr>
                <w:rFonts w:ascii="Nirmala UI" w:hAnsi="Nirmala UI" w:cs="Nirmala UI"/>
                <w:sz w:val="20"/>
                <w:szCs w:val="20"/>
              </w:rPr>
            </w:pPr>
          </w:p>
        </w:tc>
        <w:tc>
          <w:tcPr>
            <w:tcW w:w="1080" w:type="dxa"/>
          </w:tcPr>
          <w:p w14:paraId="68ADE2E4" w14:textId="58E402E6"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131.0</w:t>
            </w:r>
          </w:p>
        </w:tc>
        <w:tc>
          <w:tcPr>
            <w:tcW w:w="1530" w:type="dxa"/>
          </w:tcPr>
          <w:p w14:paraId="58ACE893" w14:textId="5ACF95AD"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$14.1M</w:t>
            </w:r>
          </w:p>
        </w:tc>
      </w:tr>
      <w:tr w:rsidR="00862596" w:rsidRPr="00596FB8" w14:paraId="462252A4" w14:textId="77777777" w:rsidTr="004C0499">
        <w:tc>
          <w:tcPr>
            <w:tcW w:w="2448" w:type="dxa"/>
          </w:tcPr>
          <w:p w14:paraId="2AD7EF56" w14:textId="068C15D1" w:rsidR="00862596" w:rsidRPr="00E62E80" w:rsidRDefault="00862596" w:rsidP="00740339">
            <w:pPr>
              <w:rPr>
                <w:rFonts w:ascii="Nirmala UI" w:hAnsi="Nirmala UI" w:cs="Nirmala UI"/>
                <w:b/>
                <w:sz w:val="20"/>
                <w:szCs w:val="20"/>
              </w:rPr>
            </w:pPr>
            <w:r w:rsidRPr="00E62E80">
              <w:rPr>
                <w:rFonts w:ascii="Nirmala UI" w:hAnsi="Nirmala UI" w:cs="Nirmala UI"/>
                <w:b/>
                <w:sz w:val="20"/>
                <w:szCs w:val="20"/>
              </w:rPr>
              <w:t>Educational Partnership Office</w:t>
            </w:r>
          </w:p>
        </w:tc>
        <w:tc>
          <w:tcPr>
            <w:tcW w:w="8190" w:type="dxa"/>
          </w:tcPr>
          <w:p w14:paraId="0D8BA9A6" w14:textId="77777777" w:rsidR="00862596" w:rsidRPr="00E62E80" w:rsidRDefault="00862596" w:rsidP="0013465B">
            <w:pPr>
              <w:rPr>
                <w:rFonts w:ascii="Nirmala UI" w:hAnsi="Nirmala UI" w:cs="Nirmala UI"/>
                <w:sz w:val="20"/>
                <w:szCs w:val="20"/>
              </w:rPr>
            </w:pPr>
            <w:r w:rsidRPr="00E62E80">
              <w:rPr>
                <w:rFonts w:ascii="Nirmala UI" w:hAnsi="Nirmala UI" w:cs="Nirmala UI"/>
                <w:sz w:val="20"/>
                <w:szCs w:val="20"/>
              </w:rPr>
              <w:t>The Educational Partnership Office facilitates proposal assessments from prospective partners who wish to provide programs, workshops, seminars, presentations, performances and/or educational services that are led by external agencies in our schools during instructional time. This facilitation process includes liaising between internal departments and prospective partners, communicating and negotiation between parties, mediation and monitoring of partnership reviews, and ensuring that each proposal is effectively vetted for academic merit and operational compliance before being approved to offer programs to our schools.</w:t>
            </w:r>
          </w:p>
          <w:p w14:paraId="3905910E" w14:textId="4D6C95C7" w:rsidR="00862596" w:rsidRPr="00E62E80" w:rsidRDefault="00862596" w:rsidP="0013465B">
            <w:pPr>
              <w:rPr>
                <w:rFonts w:ascii="Nirmala UI" w:hAnsi="Nirmala UI" w:cs="Nirmala UI"/>
                <w:sz w:val="20"/>
                <w:szCs w:val="20"/>
              </w:rPr>
            </w:pPr>
          </w:p>
        </w:tc>
        <w:tc>
          <w:tcPr>
            <w:tcW w:w="1080" w:type="dxa"/>
          </w:tcPr>
          <w:p w14:paraId="6883A56D" w14:textId="3E500DF1"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3.0</w:t>
            </w:r>
          </w:p>
        </w:tc>
        <w:tc>
          <w:tcPr>
            <w:tcW w:w="1530" w:type="dxa"/>
          </w:tcPr>
          <w:p w14:paraId="340886A6" w14:textId="656ED8E5"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$0.4M</w:t>
            </w:r>
          </w:p>
        </w:tc>
      </w:tr>
      <w:tr w:rsidR="000B3B76" w:rsidRPr="00596FB8" w14:paraId="12E0965E" w14:textId="77777777" w:rsidTr="004C0499">
        <w:tc>
          <w:tcPr>
            <w:tcW w:w="2448" w:type="dxa"/>
            <w:vMerge w:val="restart"/>
          </w:tcPr>
          <w:p w14:paraId="239CE177" w14:textId="4A44F00F" w:rsidR="000B3B76" w:rsidRPr="00E62E80" w:rsidRDefault="000B3B76" w:rsidP="00740339">
            <w:pPr>
              <w:rPr>
                <w:rFonts w:ascii="Nirmala UI" w:hAnsi="Nirmala UI" w:cs="Nirmala UI"/>
                <w:b/>
                <w:sz w:val="20"/>
                <w:szCs w:val="20"/>
              </w:rPr>
            </w:pPr>
            <w:r w:rsidRPr="00E62E80">
              <w:rPr>
                <w:rFonts w:ascii="Nirmala UI" w:hAnsi="Nirmala UI" w:cs="Nirmala UI"/>
                <w:b/>
                <w:sz w:val="20"/>
                <w:szCs w:val="20"/>
              </w:rPr>
              <w:t>Senior Team</w:t>
            </w:r>
          </w:p>
        </w:tc>
        <w:tc>
          <w:tcPr>
            <w:tcW w:w="8190" w:type="dxa"/>
          </w:tcPr>
          <w:p w14:paraId="4AFD4FBF" w14:textId="77777777" w:rsidR="000B3B76" w:rsidRDefault="000B3B76" w:rsidP="00740339">
            <w:pPr>
              <w:rPr>
                <w:rFonts w:ascii="Nirmala UI" w:hAnsi="Nirmala UI" w:cs="Nirmala UI"/>
                <w:sz w:val="20"/>
                <w:szCs w:val="20"/>
              </w:rPr>
            </w:pPr>
            <w:r>
              <w:rPr>
                <w:rFonts w:ascii="Nirmala UI" w:hAnsi="Nirmala UI" w:cs="Nirmala UI"/>
                <w:sz w:val="20"/>
                <w:szCs w:val="20"/>
              </w:rPr>
              <w:t>The Senior Team works closely with the Board of Trustees to oversee all departments and every school.</w:t>
            </w:r>
          </w:p>
          <w:p w14:paraId="5482658D" w14:textId="190AB638" w:rsidR="000B3B76" w:rsidRPr="00E62E80" w:rsidRDefault="000B3B76" w:rsidP="00740339">
            <w:pPr>
              <w:rPr>
                <w:rFonts w:ascii="Nirmala UI" w:hAnsi="Nirmala UI" w:cs="Nirmala UI"/>
                <w:sz w:val="20"/>
                <w:szCs w:val="20"/>
              </w:rPr>
            </w:pPr>
          </w:p>
        </w:tc>
        <w:tc>
          <w:tcPr>
            <w:tcW w:w="1080" w:type="dxa"/>
          </w:tcPr>
          <w:p w14:paraId="637F8C09" w14:textId="53A2E1BD" w:rsidR="000B3B76" w:rsidRPr="00E62E80" w:rsidRDefault="000D044C" w:rsidP="000D044C">
            <w:pPr>
              <w:jc w:val="right"/>
              <w:rPr>
                <w:rFonts w:ascii="Nirmala UI" w:hAnsi="Nirmala UI" w:cs="Nirmala UI"/>
                <w:b/>
                <w:sz w:val="20"/>
                <w:szCs w:val="20"/>
              </w:rPr>
            </w:pPr>
            <w:r>
              <w:rPr>
                <w:rFonts w:ascii="Nirmala UI" w:hAnsi="Nirmala UI" w:cs="Nirmala UI"/>
                <w:b/>
                <w:sz w:val="20"/>
                <w:szCs w:val="20"/>
              </w:rPr>
              <w:t>49</w:t>
            </w:r>
            <w:r w:rsidR="000B3B76" w:rsidRPr="00E62E80">
              <w:rPr>
                <w:rFonts w:ascii="Nirmala UI" w:hAnsi="Nirmala UI" w:cs="Nirmala UI"/>
                <w:b/>
                <w:sz w:val="20"/>
                <w:szCs w:val="20"/>
              </w:rPr>
              <w:t>.0</w:t>
            </w:r>
          </w:p>
        </w:tc>
        <w:tc>
          <w:tcPr>
            <w:tcW w:w="1530" w:type="dxa"/>
          </w:tcPr>
          <w:p w14:paraId="2D0E2650" w14:textId="6B444F01" w:rsidR="000B3B76" w:rsidRPr="00E62E80" w:rsidRDefault="000B3B76" w:rsidP="000D044C">
            <w:pPr>
              <w:jc w:val="right"/>
              <w:rPr>
                <w:rFonts w:ascii="Nirmala UI" w:hAnsi="Nirmala UI" w:cs="Nirmala UI"/>
                <w:b/>
                <w:sz w:val="20"/>
                <w:szCs w:val="20"/>
              </w:rPr>
            </w:pPr>
            <w:r w:rsidRPr="00E62E80">
              <w:rPr>
                <w:rFonts w:ascii="Nirmala UI" w:hAnsi="Nirmala UI" w:cs="Nirmala UI"/>
                <w:b/>
                <w:sz w:val="20"/>
                <w:szCs w:val="20"/>
              </w:rPr>
              <w:t>$1</w:t>
            </w:r>
            <w:r w:rsidR="000D044C">
              <w:rPr>
                <w:rFonts w:ascii="Nirmala UI" w:hAnsi="Nirmala UI" w:cs="Nirmala UI"/>
                <w:b/>
                <w:sz w:val="20"/>
                <w:szCs w:val="20"/>
              </w:rPr>
              <w:t>0</w:t>
            </w:r>
            <w:r w:rsidRPr="00E62E80">
              <w:rPr>
                <w:rFonts w:ascii="Nirmala UI" w:hAnsi="Nirmala UI" w:cs="Nirmala UI"/>
                <w:b/>
                <w:sz w:val="20"/>
                <w:szCs w:val="20"/>
              </w:rPr>
              <w:t>.</w:t>
            </w:r>
            <w:r w:rsidR="000D044C">
              <w:rPr>
                <w:rFonts w:ascii="Nirmala UI" w:hAnsi="Nirmala UI" w:cs="Nirmala UI"/>
                <w:b/>
                <w:sz w:val="20"/>
                <w:szCs w:val="20"/>
              </w:rPr>
              <w:t>4</w:t>
            </w:r>
            <w:r w:rsidRPr="00E62E80">
              <w:rPr>
                <w:rFonts w:ascii="Nirmala UI" w:hAnsi="Nirmala UI" w:cs="Nirmala UI"/>
                <w:b/>
                <w:sz w:val="20"/>
                <w:szCs w:val="20"/>
              </w:rPr>
              <w:t>M</w:t>
            </w:r>
          </w:p>
        </w:tc>
      </w:tr>
      <w:tr w:rsidR="000B3B76" w:rsidRPr="00596FB8" w14:paraId="6E088DDF" w14:textId="77777777" w:rsidTr="004C0499">
        <w:tc>
          <w:tcPr>
            <w:tcW w:w="2448" w:type="dxa"/>
            <w:vMerge/>
          </w:tcPr>
          <w:p w14:paraId="52ABD76D" w14:textId="72E91E36" w:rsidR="000B3B76" w:rsidRPr="00E62E80" w:rsidRDefault="000B3B76" w:rsidP="00740339">
            <w:pPr>
              <w:rPr>
                <w:rFonts w:ascii="Nirmala UI" w:hAnsi="Nirmala UI" w:cs="Nirmala UI"/>
                <w:b/>
                <w:sz w:val="20"/>
                <w:szCs w:val="20"/>
              </w:rPr>
            </w:pPr>
          </w:p>
        </w:tc>
        <w:tc>
          <w:tcPr>
            <w:tcW w:w="8190" w:type="dxa"/>
          </w:tcPr>
          <w:p w14:paraId="41539B6C" w14:textId="77777777" w:rsidR="000B3B76" w:rsidRDefault="000B3B76" w:rsidP="000B3B76">
            <w:pPr>
              <w:rPr>
                <w:rFonts w:ascii="Nirmala UI" w:hAnsi="Nirmala UI" w:cs="Nirmala UI"/>
                <w:sz w:val="20"/>
                <w:szCs w:val="20"/>
              </w:rPr>
            </w:pPr>
            <w:r>
              <w:rPr>
                <w:rFonts w:ascii="Nirmala UI" w:hAnsi="Nirmala UI" w:cs="Nirmala UI"/>
                <w:sz w:val="20"/>
                <w:szCs w:val="20"/>
              </w:rPr>
              <w:t>Administrative support to the Senior Team:  Provides administrative support to every member of the Senior Team.</w:t>
            </w:r>
          </w:p>
          <w:p w14:paraId="6C08ADF4" w14:textId="77777777" w:rsidR="000B3B76" w:rsidRDefault="000B3B76" w:rsidP="000B3B76">
            <w:pPr>
              <w:rPr>
                <w:rFonts w:ascii="Nirmala UI" w:hAnsi="Nirmala UI" w:cs="Nirmala UI"/>
                <w:sz w:val="20"/>
                <w:szCs w:val="20"/>
              </w:rPr>
            </w:pPr>
          </w:p>
          <w:p w14:paraId="25745587" w14:textId="0C3AA834" w:rsidR="000B3B76" w:rsidRPr="00E62E80" w:rsidRDefault="000B3B76" w:rsidP="000B3B76">
            <w:pPr>
              <w:rPr>
                <w:rFonts w:ascii="Nirmala UI" w:hAnsi="Nirmala UI" w:cs="Nirmala UI"/>
                <w:sz w:val="20"/>
                <w:szCs w:val="20"/>
              </w:rPr>
            </w:pPr>
          </w:p>
        </w:tc>
        <w:tc>
          <w:tcPr>
            <w:tcW w:w="1080" w:type="dxa"/>
          </w:tcPr>
          <w:p w14:paraId="7B01E937" w14:textId="2ABAEAB3" w:rsidR="000B3B76" w:rsidRPr="00E62E80" w:rsidRDefault="000D044C" w:rsidP="002F11D0">
            <w:pPr>
              <w:jc w:val="right"/>
              <w:rPr>
                <w:rFonts w:ascii="Nirmala UI" w:hAnsi="Nirmala UI" w:cs="Nirmala UI"/>
                <w:b/>
                <w:sz w:val="20"/>
                <w:szCs w:val="20"/>
              </w:rPr>
            </w:pPr>
            <w:r>
              <w:rPr>
                <w:rFonts w:ascii="Nirmala UI" w:hAnsi="Nirmala UI" w:cs="Nirmala UI"/>
                <w:b/>
                <w:sz w:val="20"/>
                <w:szCs w:val="20"/>
              </w:rPr>
              <w:t>47.0</w:t>
            </w:r>
          </w:p>
        </w:tc>
        <w:tc>
          <w:tcPr>
            <w:tcW w:w="1530" w:type="dxa"/>
          </w:tcPr>
          <w:p w14:paraId="135CE6A2" w14:textId="5FCAA31A" w:rsidR="000B3B76" w:rsidRPr="00E62E80" w:rsidRDefault="000D044C" w:rsidP="002F11D0">
            <w:pPr>
              <w:jc w:val="right"/>
              <w:rPr>
                <w:rFonts w:ascii="Nirmala UI" w:hAnsi="Nirmala UI" w:cs="Nirmala UI"/>
                <w:b/>
                <w:sz w:val="20"/>
                <w:szCs w:val="20"/>
              </w:rPr>
            </w:pPr>
            <w:r>
              <w:rPr>
                <w:rFonts w:ascii="Nirmala UI" w:hAnsi="Nirmala UI" w:cs="Nirmala UI"/>
                <w:b/>
                <w:sz w:val="20"/>
                <w:szCs w:val="20"/>
              </w:rPr>
              <w:t>$4.6M</w:t>
            </w:r>
          </w:p>
        </w:tc>
      </w:tr>
      <w:tr w:rsidR="00862596" w:rsidRPr="00596FB8" w14:paraId="5760FA5D" w14:textId="77777777" w:rsidTr="004C0499">
        <w:tc>
          <w:tcPr>
            <w:tcW w:w="2448" w:type="dxa"/>
          </w:tcPr>
          <w:p w14:paraId="2D2D6190" w14:textId="3F7E517B" w:rsidR="00862596" w:rsidRPr="00E62E80" w:rsidRDefault="00862596" w:rsidP="00740339">
            <w:pPr>
              <w:rPr>
                <w:rFonts w:ascii="Nirmala UI" w:hAnsi="Nirmala UI" w:cs="Nirmala UI"/>
                <w:b/>
                <w:sz w:val="20"/>
                <w:szCs w:val="20"/>
              </w:rPr>
            </w:pPr>
            <w:r w:rsidRPr="00E62E80">
              <w:rPr>
                <w:rFonts w:ascii="Nirmala UI" w:hAnsi="Nirmala UI" w:cs="Nirmala UI"/>
                <w:b/>
                <w:sz w:val="20"/>
                <w:szCs w:val="20"/>
              </w:rPr>
              <w:lastRenderedPageBreak/>
              <w:t xml:space="preserve">Service Excellence and Sustainability </w:t>
            </w:r>
          </w:p>
        </w:tc>
        <w:tc>
          <w:tcPr>
            <w:tcW w:w="8190" w:type="dxa"/>
          </w:tcPr>
          <w:p w14:paraId="1996E4ED" w14:textId="77777777" w:rsidR="00862596" w:rsidRPr="00E62E80" w:rsidRDefault="00862596">
            <w:pPr>
              <w:rPr>
                <w:rFonts w:ascii="Nirmala UI" w:hAnsi="Nirmala UI" w:cs="Nirmala UI"/>
                <w:sz w:val="20"/>
                <w:szCs w:val="20"/>
              </w:rPr>
            </w:pPr>
            <w:r w:rsidRPr="00E62E80">
              <w:rPr>
                <w:rFonts w:ascii="Nirmala UI" w:hAnsi="Nirmala UI" w:cs="Nirmala UI"/>
                <w:sz w:val="20"/>
                <w:szCs w:val="20"/>
              </w:rPr>
              <w:t xml:space="preserve">This department has three main areas of focus: Service Excellence, Standards, Compliance and Building Information Management, and Environment and </w:t>
            </w:r>
            <w:proofErr w:type="spellStart"/>
            <w:r w:rsidRPr="00E62E80">
              <w:rPr>
                <w:rFonts w:ascii="Nirmala UI" w:hAnsi="Nirmala UI" w:cs="Nirmala UI"/>
                <w:sz w:val="20"/>
                <w:szCs w:val="20"/>
              </w:rPr>
              <w:t>EcoSchools</w:t>
            </w:r>
            <w:proofErr w:type="spellEnd"/>
            <w:r w:rsidRPr="00E62E80">
              <w:rPr>
                <w:rFonts w:ascii="Nirmala UI" w:hAnsi="Nirmala UI" w:cs="Nirmala UI"/>
                <w:sz w:val="20"/>
                <w:szCs w:val="20"/>
              </w:rPr>
              <w:t>.</w:t>
            </w:r>
          </w:p>
          <w:p w14:paraId="4CD9196F" w14:textId="77777777" w:rsidR="00862596" w:rsidRPr="00E62E80" w:rsidRDefault="00862596">
            <w:pPr>
              <w:rPr>
                <w:rFonts w:ascii="Nirmala UI" w:hAnsi="Nirmala UI" w:cs="Nirmala UI"/>
                <w:sz w:val="20"/>
                <w:szCs w:val="20"/>
              </w:rPr>
            </w:pPr>
          </w:p>
          <w:p w14:paraId="3FB1A026" w14:textId="77777777" w:rsidR="00862596" w:rsidRPr="00E62E80" w:rsidRDefault="00862596">
            <w:pPr>
              <w:rPr>
                <w:rFonts w:ascii="Nirmala UI" w:hAnsi="Nirmala UI" w:cs="Nirmala UI"/>
                <w:sz w:val="20"/>
                <w:szCs w:val="20"/>
              </w:rPr>
            </w:pPr>
            <w:r w:rsidRPr="00E62E80">
              <w:rPr>
                <w:rFonts w:ascii="Nirmala UI" w:hAnsi="Nirmala UI" w:cs="Nirmala UI"/>
                <w:sz w:val="20"/>
                <w:szCs w:val="20"/>
              </w:rPr>
              <w:t>The Service Excellence team works with staff from more than 70 work units from central business and school operations to develop and implement annual service improvement plans that will lead to improvement of work culture and service delivery to schools.</w:t>
            </w:r>
          </w:p>
          <w:p w14:paraId="1C59B011" w14:textId="77777777" w:rsidR="00862596" w:rsidRPr="00E62E80" w:rsidRDefault="00862596">
            <w:pPr>
              <w:rPr>
                <w:rFonts w:ascii="Nirmala UI" w:hAnsi="Nirmala UI" w:cs="Nirmala UI"/>
                <w:sz w:val="20"/>
                <w:szCs w:val="20"/>
              </w:rPr>
            </w:pPr>
          </w:p>
          <w:p w14:paraId="37C442FC" w14:textId="77777777" w:rsidR="00862596" w:rsidRPr="00E62E80" w:rsidRDefault="00862596">
            <w:pPr>
              <w:rPr>
                <w:rFonts w:ascii="Nirmala UI" w:hAnsi="Nirmala UI" w:cs="Nirmala UI"/>
                <w:sz w:val="20"/>
                <w:szCs w:val="20"/>
              </w:rPr>
            </w:pPr>
            <w:r w:rsidRPr="00E62E80">
              <w:rPr>
                <w:rFonts w:ascii="Nirmala UI" w:hAnsi="Nirmala UI" w:cs="Nirmala UI"/>
                <w:sz w:val="20"/>
                <w:szCs w:val="20"/>
              </w:rPr>
              <w:t xml:space="preserve">The Standards, Compliance and Building Information Management team provides expertise in maintaining facilities-related standards, compliance with regulations, and conformance to industry standards. This team also manages the TDSB’s architectural drawing archives and building information management system. </w:t>
            </w:r>
          </w:p>
          <w:p w14:paraId="44184AFA" w14:textId="77777777" w:rsidR="00862596" w:rsidRPr="00E62E80" w:rsidRDefault="00862596" w:rsidP="00FF23D9">
            <w:pPr>
              <w:rPr>
                <w:rFonts w:ascii="Nirmala UI" w:hAnsi="Nirmala UI" w:cs="Nirmala UI"/>
                <w:sz w:val="20"/>
                <w:szCs w:val="20"/>
              </w:rPr>
            </w:pPr>
            <w:r w:rsidRPr="00E62E80">
              <w:rPr>
                <w:rFonts w:ascii="Nirmala UI" w:hAnsi="Nirmala UI" w:cs="Nirmala UI"/>
                <w:sz w:val="20"/>
                <w:szCs w:val="20"/>
              </w:rPr>
              <w:t xml:space="preserve">The Environment and </w:t>
            </w:r>
            <w:proofErr w:type="spellStart"/>
            <w:r w:rsidRPr="00E62E80">
              <w:rPr>
                <w:rFonts w:ascii="Nirmala UI" w:hAnsi="Nirmala UI" w:cs="Nirmala UI"/>
                <w:sz w:val="20"/>
                <w:szCs w:val="20"/>
              </w:rPr>
              <w:t>EcoSchools</w:t>
            </w:r>
            <w:proofErr w:type="spellEnd"/>
            <w:r w:rsidRPr="00E62E80">
              <w:rPr>
                <w:rFonts w:ascii="Nirmala UI" w:hAnsi="Nirmala UI" w:cs="Nirmala UI"/>
                <w:sz w:val="20"/>
                <w:szCs w:val="20"/>
              </w:rPr>
              <w:t xml:space="preserve"> team supports the creation of environmentally sustainable schools that inspire teaching and learning through the </w:t>
            </w:r>
            <w:proofErr w:type="spellStart"/>
            <w:r w:rsidRPr="00E62E80">
              <w:rPr>
                <w:rFonts w:ascii="Nirmala UI" w:hAnsi="Nirmala UI" w:cs="Nirmala UI"/>
                <w:sz w:val="20"/>
                <w:szCs w:val="20"/>
              </w:rPr>
              <w:t>EcoSchools</w:t>
            </w:r>
            <w:proofErr w:type="spellEnd"/>
            <w:r w:rsidRPr="00E62E80">
              <w:rPr>
                <w:rFonts w:ascii="Nirmala UI" w:hAnsi="Nirmala UI" w:cs="Nirmala UI"/>
                <w:sz w:val="20"/>
                <w:szCs w:val="20"/>
              </w:rPr>
              <w:t xml:space="preserve"> program, the Traffic Safety program and the implementation of the Board’s Urban Forest Management program. </w:t>
            </w:r>
          </w:p>
          <w:p w14:paraId="2BDEA9C6" w14:textId="77777777" w:rsidR="00862596" w:rsidRPr="00E62E80" w:rsidRDefault="00862596" w:rsidP="00FF23D9">
            <w:pPr>
              <w:rPr>
                <w:rFonts w:ascii="Nirmala UI" w:hAnsi="Nirmala UI" w:cs="Nirmala UI"/>
                <w:sz w:val="20"/>
                <w:szCs w:val="20"/>
              </w:rPr>
            </w:pPr>
          </w:p>
          <w:p w14:paraId="1823D917" w14:textId="45B0FA13" w:rsidR="00862596" w:rsidRPr="00E62E80" w:rsidRDefault="00862596" w:rsidP="00FF23D9">
            <w:pPr>
              <w:rPr>
                <w:rFonts w:ascii="Nirmala UI" w:hAnsi="Nirmala UI" w:cs="Nirmala UI"/>
                <w:sz w:val="20"/>
                <w:szCs w:val="20"/>
              </w:rPr>
            </w:pPr>
            <w:r w:rsidRPr="00E62E80">
              <w:rPr>
                <w:rFonts w:ascii="Nirmala UI" w:hAnsi="Nirmala UI" w:cs="Nirmala UI"/>
                <w:sz w:val="20"/>
                <w:szCs w:val="20"/>
              </w:rPr>
              <w:t>Includes department operating expenses of approximately $100,000.</w:t>
            </w:r>
          </w:p>
          <w:p w14:paraId="41049460" w14:textId="7C3A9407" w:rsidR="00862596" w:rsidRPr="00E62E80" w:rsidRDefault="00862596" w:rsidP="00FF23D9">
            <w:pPr>
              <w:rPr>
                <w:rFonts w:ascii="Nirmala UI" w:hAnsi="Nirmala UI" w:cs="Nirmala UI"/>
                <w:sz w:val="20"/>
                <w:szCs w:val="20"/>
              </w:rPr>
            </w:pPr>
          </w:p>
        </w:tc>
        <w:tc>
          <w:tcPr>
            <w:tcW w:w="1080" w:type="dxa"/>
            <w:shd w:val="clear" w:color="auto" w:fill="FFFFFF" w:themeFill="background1"/>
          </w:tcPr>
          <w:p w14:paraId="6BC7C5FC" w14:textId="1C36BA8B" w:rsidR="00862596" w:rsidRPr="00E62E80" w:rsidRDefault="00862596" w:rsidP="00B11119">
            <w:pPr>
              <w:jc w:val="right"/>
              <w:rPr>
                <w:rFonts w:ascii="Nirmala UI" w:hAnsi="Nirmala UI" w:cs="Nirmala UI"/>
                <w:b/>
                <w:sz w:val="20"/>
                <w:szCs w:val="20"/>
              </w:rPr>
            </w:pPr>
            <w:r w:rsidRPr="00E62E80">
              <w:rPr>
                <w:rFonts w:ascii="Nirmala UI" w:hAnsi="Nirmala UI" w:cs="Nirmala UI"/>
                <w:b/>
                <w:sz w:val="20"/>
                <w:szCs w:val="20"/>
              </w:rPr>
              <w:t>18.0</w:t>
            </w:r>
          </w:p>
        </w:tc>
        <w:tc>
          <w:tcPr>
            <w:tcW w:w="1530" w:type="dxa"/>
            <w:shd w:val="clear" w:color="auto" w:fill="FFFFFF" w:themeFill="background1"/>
          </w:tcPr>
          <w:p w14:paraId="3B80CDB9" w14:textId="46B137F8" w:rsidR="00862596" w:rsidRPr="00E62E80" w:rsidRDefault="00862596" w:rsidP="00B11119">
            <w:pPr>
              <w:jc w:val="right"/>
              <w:rPr>
                <w:rFonts w:ascii="Nirmala UI" w:hAnsi="Nirmala UI" w:cs="Nirmala UI"/>
                <w:b/>
                <w:sz w:val="20"/>
                <w:szCs w:val="20"/>
              </w:rPr>
            </w:pPr>
            <w:r w:rsidRPr="00E62E80">
              <w:rPr>
                <w:rFonts w:ascii="Nirmala UI" w:hAnsi="Nirmala UI" w:cs="Nirmala UI"/>
                <w:b/>
                <w:sz w:val="20"/>
                <w:szCs w:val="20"/>
              </w:rPr>
              <w:t>$1.9M</w:t>
            </w:r>
          </w:p>
        </w:tc>
      </w:tr>
      <w:tr w:rsidR="00862596" w:rsidRPr="00596FB8" w14:paraId="65727579" w14:textId="77777777" w:rsidTr="004C0499">
        <w:tc>
          <w:tcPr>
            <w:tcW w:w="2448" w:type="dxa"/>
          </w:tcPr>
          <w:p w14:paraId="038840E2" w14:textId="7A37B53C" w:rsidR="00862596" w:rsidRPr="00E62E80" w:rsidRDefault="00862596" w:rsidP="00740339">
            <w:pPr>
              <w:rPr>
                <w:rFonts w:ascii="Nirmala UI" w:hAnsi="Nirmala UI" w:cs="Nirmala UI"/>
                <w:b/>
                <w:sz w:val="20"/>
                <w:szCs w:val="20"/>
              </w:rPr>
            </w:pPr>
            <w:r w:rsidRPr="00E62E80">
              <w:rPr>
                <w:rFonts w:ascii="Nirmala UI" w:hAnsi="Nirmala UI" w:cs="Nirmala UI"/>
                <w:b/>
                <w:sz w:val="20"/>
                <w:szCs w:val="20"/>
              </w:rPr>
              <w:t>Centrally Assigned Principals</w:t>
            </w:r>
          </w:p>
        </w:tc>
        <w:tc>
          <w:tcPr>
            <w:tcW w:w="8190" w:type="dxa"/>
          </w:tcPr>
          <w:p w14:paraId="7822BF64" w14:textId="77777777" w:rsidR="00862596" w:rsidRPr="00E62E80" w:rsidRDefault="00862596" w:rsidP="00862596">
            <w:pPr>
              <w:rPr>
                <w:rFonts w:ascii="Nirmala UI" w:hAnsi="Nirmala UI" w:cs="Nirmala UI"/>
                <w:sz w:val="20"/>
                <w:szCs w:val="20"/>
              </w:rPr>
            </w:pPr>
            <w:r w:rsidRPr="00E62E80">
              <w:rPr>
                <w:rFonts w:ascii="Nirmala UI" w:hAnsi="Nirmala UI" w:cs="Nirmala UI"/>
                <w:sz w:val="20"/>
                <w:szCs w:val="20"/>
              </w:rPr>
              <w:t>Centrally assigned elementary and secondary principals support programs in the areas of Leadership, Learning, Equity and Well-Being, Employee Services, Learning Centres, Outdoor Education, Continuing Education, Indigenous Education, Alternative Schools, Caring and Safe Schools.</w:t>
            </w:r>
          </w:p>
          <w:p w14:paraId="1D2DC956" w14:textId="506F83E5" w:rsidR="00862596" w:rsidRPr="00E62E80" w:rsidRDefault="00862596" w:rsidP="00C75918">
            <w:pPr>
              <w:rPr>
                <w:rFonts w:ascii="Nirmala UI" w:hAnsi="Nirmala UI" w:cs="Nirmala UI"/>
                <w:sz w:val="20"/>
                <w:szCs w:val="20"/>
              </w:rPr>
            </w:pPr>
          </w:p>
        </w:tc>
        <w:tc>
          <w:tcPr>
            <w:tcW w:w="1080" w:type="dxa"/>
          </w:tcPr>
          <w:p w14:paraId="72E8EBB8" w14:textId="27060378"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35.0</w:t>
            </w:r>
          </w:p>
        </w:tc>
        <w:tc>
          <w:tcPr>
            <w:tcW w:w="1530" w:type="dxa"/>
          </w:tcPr>
          <w:p w14:paraId="75FF7D2F" w14:textId="4CB26567"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$5.4M</w:t>
            </w:r>
          </w:p>
        </w:tc>
      </w:tr>
      <w:tr w:rsidR="00862596" w:rsidRPr="00596FB8" w14:paraId="355C6449" w14:textId="77777777" w:rsidTr="004C0499">
        <w:tc>
          <w:tcPr>
            <w:tcW w:w="2448" w:type="dxa"/>
          </w:tcPr>
          <w:p w14:paraId="0E9D0934" w14:textId="6300139C" w:rsidR="00862596" w:rsidRPr="00E62E80" w:rsidRDefault="00862596" w:rsidP="00740339">
            <w:pPr>
              <w:rPr>
                <w:rFonts w:ascii="Nirmala UI" w:hAnsi="Nirmala UI" w:cs="Nirmala UI"/>
                <w:b/>
                <w:sz w:val="20"/>
                <w:szCs w:val="20"/>
              </w:rPr>
            </w:pPr>
            <w:r w:rsidRPr="00E62E80">
              <w:rPr>
                <w:rFonts w:ascii="Nirmala UI" w:hAnsi="Nirmala UI" w:cs="Nirmala UI"/>
                <w:b/>
                <w:sz w:val="20"/>
                <w:szCs w:val="20"/>
              </w:rPr>
              <w:t>Government, Public and Community Relations</w:t>
            </w:r>
            <w:r w:rsidR="00C265B7">
              <w:rPr>
                <w:rFonts w:ascii="Nirmala UI" w:hAnsi="Nirmala UI" w:cs="Nirmala UI"/>
                <w:b/>
                <w:sz w:val="20"/>
                <w:szCs w:val="20"/>
              </w:rPr>
              <w:t xml:space="preserve"> (Communications)</w:t>
            </w:r>
          </w:p>
          <w:p w14:paraId="212CDC81" w14:textId="3546072D" w:rsidR="00862596" w:rsidRPr="00E62E80" w:rsidRDefault="00862596" w:rsidP="00740339">
            <w:pPr>
              <w:rPr>
                <w:rFonts w:ascii="Nirmala UI" w:hAnsi="Nirmala UI" w:cs="Nirmala UI"/>
                <w:b/>
                <w:sz w:val="20"/>
                <w:szCs w:val="20"/>
              </w:rPr>
            </w:pPr>
          </w:p>
        </w:tc>
        <w:tc>
          <w:tcPr>
            <w:tcW w:w="8190" w:type="dxa"/>
          </w:tcPr>
          <w:p w14:paraId="344D6B36" w14:textId="7519526B" w:rsidR="00862596" w:rsidRPr="00E62E80" w:rsidRDefault="00862596" w:rsidP="00040864">
            <w:pPr>
              <w:rPr>
                <w:rFonts w:ascii="Nirmala UI" w:hAnsi="Nirmala UI" w:cs="Nirmala UI"/>
                <w:sz w:val="20"/>
                <w:szCs w:val="20"/>
              </w:rPr>
            </w:pPr>
            <w:r w:rsidRPr="00E62E80">
              <w:rPr>
                <w:rFonts w:ascii="Nirmala UI" w:hAnsi="Nirmala UI" w:cs="Nirmala UI"/>
                <w:sz w:val="20"/>
                <w:szCs w:val="20"/>
              </w:rPr>
              <w:t>The Government, Public and Community Relations department provides support to ensure that the TDSB communicates effectively with both internal (employees and schools) and external stakeholders (parents, students, media, and different levels of government).  The department is comprised of the following areas: Strategic Communications; Issues Management/Crisis Communications/Event Management; Corporate and Social Media Relations; Marketing, Design and Creative AV Services and Web Services.</w:t>
            </w:r>
          </w:p>
          <w:p w14:paraId="6FA54B76" w14:textId="77777777" w:rsidR="00862596" w:rsidRPr="00E62E80" w:rsidRDefault="00862596" w:rsidP="00040864">
            <w:pPr>
              <w:rPr>
                <w:rFonts w:ascii="Nirmala UI" w:hAnsi="Nirmala UI" w:cs="Nirmala UI"/>
                <w:sz w:val="20"/>
                <w:szCs w:val="20"/>
              </w:rPr>
            </w:pPr>
          </w:p>
          <w:p w14:paraId="7325D776" w14:textId="27D72D58" w:rsidR="00862596" w:rsidRPr="00E62E80" w:rsidRDefault="00862596" w:rsidP="001573F7">
            <w:pPr>
              <w:rPr>
                <w:rFonts w:ascii="Nirmala UI" w:hAnsi="Nirmala UI" w:cs="Nirmala UI"/>
                <w:sz w:val="20"/>
                <w:szCs w:val="20"/>
              </w:rPr>
            </w:pPr>
            <w:r w:rsidRPr="00E62E80">
              <w:rPr>
                <w:rFonts w:ascii="Nirmala UI" w:hAnsi="Nirmala UI" w:cs="Nirmala UI"/>
                <w:sz w:val="20"/>
                <w:szCs w:val="20"/>
              </w:rPr>
              <w:t>Includes department operating expenses of approximately $400,000.</w:t>
            </w:r>
          </w:p>
          <w:p w14:paraId="51140439" w14:textId="31E9D890" w:rsidR="00862596" w:rsidRPr="00E62E80" w:rsidRDefault="00862596" w:rsidP="001573F7">
            <w:pPr>
              <w:rPr>
                <w:rFonts w:ascii="Nirmala UI" w:hAnsi="Nirmala UI" w:cs="Nirmala UI"/>
                <w:b/>
                <w:sz w:val="20"/>
                <w:szCs w:val="20"/>
              </w:rPr>
            </w:pPr>
          </w:p>
        </w:tc>
        <w:tc>
          <w:tcPr>
            <w:tcW w:w="1080" w:type="dxa"/>
          </w:tcPr>
          <w:p w14:paraId="07F2E3DD" w14:textId="7A3FCC29"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27.0</w:t>
            </w:r>
          </w:p>
        </w:tc>
        <w:tc>
          <w:tcPr>
            <w:tcW w:w="1530" w:type="dxa"/>
          </w:tcPr>
          <w:p w14:paraId="0C1C5102" w14:textId="47E4B6DC" w:rsidR="00862596" w:rsidRPr="00E62E80" w:rsidRDefault="00862596" w:rsidP="00DC3BE1">
            <w:pPr>
              <w:jc w:val="right"/>
              <w:rPr>
                <w:rFonts w:ascii="Nirmala UI" w:hAnsi="Nirmala UI" w:cs="Nirmala UI"/>
                <w:b/>
                <w:sz w:val="20"/>
                <w:szCs w:val="20"/>
              </w:rPr>
            </w:pPr>
            <w:r w:rsidRPr="00E62E80">
              <w:rPr>
                <w:rFonts w:ascii="Nirmala UI" w:hAnsi="Nirmala UI" w:cs="Nirmala UI"/>
                <w:b/>
                <w:sz w:val="20"/>
                <w:szCs w:val="20"/>
              </w:rPr>
              <w:t>$3.5M</w:t>
            </w:r>
          </w:p>
        </w:tc>
      </w:tr>
      <w:tr w:rsidR="00514A93" w:rsidRPr="00596FB8" w14:paraId="10834E36" w14:textId="77777777" w:rsidTr="001573F7">
        <w:tc>
          <w:tcPr>
            <w:tcW w:w="2448" w:type="dxa"/>
          </w:tcPr>
          <w:p w14:paraId="64CA7022" w14:textId="0F27431B" w:rsidR="00514A93" w:rsidRPr="00514A93" w:rsidRDefault="00514A93" w:rsidP="00740339">
            <w:pPr>
              <w:rPr>
                <w:rFonts w:ascii="Nirmala UI" w:hAnsi="Nirmala UI" w:cs="Nirmala UI"/>
                <w:b/>
                <w:sz w:val="20"/>
                <w:szCs w:val="20"/>
              </w:rPr>
            </w:pPr>
            <w:r w:rsidRPr="00514A93">
              <w:rPr>
                <w:rFonts w:ascii="Nirmala UI" w:hAnsi="Nirmala UI" w:cs="Nirmala UI"/>
                <w:b/>
                <w:sz w:val="20"/>
                <w:szCs w:val="20"/>
              </w:rPr>
              <w:lastRenderedPageBreak/>
              <w:t>Governance and Board Services</w:t>
            </w:r>
          </w:p>
        </w:tc>
        <w:tc>
          <w:tcPr>
            <w:tcW w:w="8190" w:type="dxa"/>
          </w:tcPr>
          <w:p w14:paraId="704625DE" w14:textId="77777777" w:rsidR="00514A93" w:rsidRPr="00514A93" w:rsidRDefault="00514A93" w:rsidP="009735A6">
            <w:pPr>
              <w:pStyle w:val="Default"/>
              <w:rPr>
                <w:rFonts w:ascii="Nirmala UI" w:hAnsi="Nirmala UI" w:cs="Nirmala UI"/>
                <w:sz w:val="20"/>
                <w:szCs w:val="20"/>
              </w:rPr>
            </w:pPr>
            <w:r w:rsidRPr="00514A93">
              <w:rPr>
                <w:rFonts w:ascii="Nirmala UI" w:hAnsi="Nirmala UI" w:cs="Nirmala UI"/>
                <w:sz w:val="20"/>
                <w:szCs w:val="20"/>
              </w:rPr>
              <w:t>This department supports the recording of Committee and Board meetings and supports Trustee Services. As well, it reviews and enhances existing governance practice to facilitate achievement of the goals in the Multi-Year Strategic Plan. The department also supports and guides the review of all Board policies and related procedures to ensure alignment with the Board’s Mission, Vision and Values and MYSP, with emphasis placed on equitable access to learning opportunities and outcomes, human rights, accessibility, equity, inclusion, anti-racism and anti-oppression.</w:t>
            </w:r>
          </w:p>
          <w:p w14:paraId="453CB3CC" w14:textId="45E78D45" w:rsidR="00514A93" w:rsidRPr="00514A93" w:rsidRDefault="00514A93" w:rsidP="00740339">
            <w:pPr>
              <w:rPr>
                <w:rFonts w:ascii="Nirmala UI" w:hAnsi="Nirmala UI" w:cs="Nirmala UI"/>
                <w:sz w:val="20"/>
                <w:szCs w:val="20"/>
              </w:rPr>
            </w:pPr>
          </w:p>
        </w:tc>
        <w:tc>
          <w:tcPr>
            <w:tcW w:w="1080" w:type="dxa"/>
            <w:shd w:val="clear" w:color="auto" w:fill="FFFFFF" w:themeFill="background1"/>
          </w:tcPr>
          <w:p w14:paraId="44CA8515" w14:textId="61FCFA99" w:rsidR="00514A93" w:rsidRPr="00514A93" w:rsidRDefault="00514A93" w:rsidP="00675A14">
            <w:pPr>
              <w:jc w:val="right"/>
              <w:rPr>
                <w:rFonts w:ascii="Nirmala UI" w:hAnsi="Nirmala UI" w:cs="Nirmala UI"/>
                <w:b/>
                <w:sz w:val="20"/>
                <w:szCs w:val="20"/>
              </w:rPr>
            </w:pPr>
            <w:r w:rsidRPr="00514A93">
              <w:rPr>
                <w:rFonts w:ascii="Nirmala UI" w:hAnsi="Nirmala UI" w:cs="Nirmala UI"/>
                <w:b/>
                <w:sz w:val="20"/>
                <w:szCs w:val="20"/>
              </w:rPr>
              <w:t>15.0</w:t>
            </w:r>
          </w:p>
        </w:tc>
        <w:tc>
          <w:tcPr>
            <w:tcW w:w="1530" w:type="dxa"/>
            <w:shd w:val="clear" w:color="auto" w:fill="FFFFFF" w:themeFill="background1"/>
          </w:tcPr>
          <w:p w14:paraId="286046A7" w14:textId="015FAFD5" w:rsidR="00514A93" w:rsidRPr="00514A93" w:rsidRDefault="00514A93" w:rsidP="00675A14">
            <w:pPr>
              <w:jc w:val="right"/>
              <w:rPr>
                <w:rFonts w:ascii="Nirmala UI" w:hAnsi="Nirmala UI" w:cs="Nirmala UI"/>
                <w:b/>
                <w:sz w:val="20"/>
                <w:szCs w:val="20"/>
              </w:rPr>
            </w:pPr>
            <w:r w:rsidRPr="00514A93">
              <w:rPr>
                <w:rFonts w:ascii="Nirmala UI" w:hAnsi="Nirmala UI" w:cs="Nirmala UI"/>
                <w:b/>
                <w:sz w:val="20"/>
                <w:szCs w:val="20"/>
              </w:rPr>
              <w:t>$1.9M</w:t>
            </w:r>
          </w:p>
        </w:tc>
      </w:tr>
      <w:tr w:rsidR="00862596" w:rsidRPr="00596FB8" w14:paraId="691F63A8" w14:textId="77777777" w:rsidTr="004C0499">
        <w:tc>
          <w:tcPr>
            <w:tcW w:w="13248" w:type="dxa"/>
            <w:gridSpan w:val="4"/>
            <w:shd w:val="clear" w:color="auto" w:fill="EEECE1" w:themeFill="background2"/>
          </w:tcPr>
          <w:p w14:paraId="5B230263" w14:textId="4BADC462" w:rsidR="00862596" w:rsidRPr="00E62E80" w:rsidRDefault="00862596" w:rsidP="009C1317">
            <w:pPr>
              <w:jc w:val="center"/>
              <w:rPr>
                <w:rFonts w:ascii="Nirmala UI" w:hAnsi="Nirmala UI" w:cs="Nirmala UI"/>
                <w:b/>
                <w:sz w:val="20"/>
                <w:szCs w:val="20"/>
              </w:rPr>
            </w:pPr>
            <w:r w:rsidRPr="00E62E80">
              <w:rPr>
                <w:rFonts w:ascii="Nirmala UI" w:hAnsi="Nirmala UI" w:cs="Nirmala UI"/>
                <w:b/>
                <w:sz w:val="28"/>
                <w:szCs w:val="20"/>
              </w:rPr>
              <w:t>YEAR TWO</w:t>
            </w:r>
          </w:p>
        </w:tc>
      </w:tr>
      <w:tr w:rsidR="00862596" w:rsidRPr="00596FB8" w14:paraId="4EB779AE" w14:textId="77777777" w:rsidTr="004C0499">
        <w:tc>
          <w:tcPr>
            <w:tcW w:w="2448" w:type="dxa"/>
          </w:tcPr>
          <w:p w14:paraId="7F6631FE" w14:textId="7DDE8205" w:rsidR="00862596" w:rsidRPr="00E62E80" w:rsidRDefault="00862596" w:rsidP="00740339">
            <w:pPr>
              <w:rPr>
                <w:rFonts w:ascii="Nirmala UI" w:hAnsi="Nirmala UI" w:cs="Nirmala UI"/>
                <w:b/>
                <w:sz w:val="20"/>
                <w:szCs w:val="20"/>
              </w:rPr>
            </w:pPr>
            <w:r w:rsidRPr="00E62E80">
              <w:rPr>
                <w:rFonts w:ascii="Nirmala UI" w:hAnsi="Nirmala UI" w:cs="Nirmala UI"/>
                <w:b/>
                <w:sz w:val="20"/>
                <w:szCs w:val="20"/>
              </w:rPr>
              <w:t>Lunchroom Supervisors</w:t>
            </w:r>
          </w:p>
        </w:tc>
        <w:tc>
          <w:tcPr>
            <w:tcW w:w="8190" w:type="dxa"/>
          </w:tcPr>
          <w:p w14:paraId="7F03D99A" w14:textId="1740006C" w:rsidR="00862596" w:rsidRPr="00E62E80" w:rsidRDefault="00862596" w:rsidP="00955082">
            <w:pPr>
              <w:rPr>
                <w:rFonts w:ascii="Nirmala UI" w:hAnsi="Nirmala UI" w:cs="Nirmala UI"/>
                <w:sz w:val="20"/>
                <w:szCs w:val="20"/>
              </w:rPr>
            </w:pPr>
            <w:r w:rsidRPr="00E62E80">
              <w:rPr>
                <w:rFonts w:ascii="Nirmala UI" w:hAnsi="Nirmala UI" w:cs="Nirmala UI"/>
                <w:sz w:val="20"/>
                <w:szCs w:val="20"/>
              </w:rPr>
              <w:t>Provides supervision of students.</w:t>
            </w:r>
          </w:p>
          <w:p w14:paraId="0E98CEB8" w14:textId="052FBC4F" w:rsidR="00862596" w:rsidRPr="00E62E80" w:rsidRDefault="00862596" w:rsidP="00955082">
            <w:pPr>
              <w:rPr>
                <w:rFonts w:ascii="Nirmala UI" w:hAnsi="Nirmala UI" w:cs="Nirmala UI"/>
                <w:sz w:val="20"/>
                <w:szCs w:val="20"/>
              </w:rPr>
            </w:pPr>
          </w:p>
        </w:tc>
        <w:tc>
          <w:tcPr>
            <w:tcW w:w="1080" w:type="dxa"/>
            <w:shd w:val="clear" w:color="auto" w:fill="FFFFFF" w:themeFill="background1"/>
          </w:tcPr>
          <w:p w14:paraId="4098D6F1" w14:textId="573FA022"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2,828.0</w:t>
            </w:r>
          </w:p>
        </w:tc>
        <w:tc>
          <w:tcPr>
            <w:tcW w:w="1530" w:type="dxa"/>
            <w:shd w:val="clear" w:color="auto" w:fill="FFFFFF" w:themeFill="background1"/>
          </w:tcPr>
          <w:p w14:paraId="4605270A" w14:textId="3EEF1C28"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$19.1M</w:t>
            </w:r>
          </w:p>
        </w:tc>
      </w:tr>
      <w:tr w:rsidR="00862596" w:rsidRPr="00596FB8" w14:paraId="1DAA645B" w14:textId="77777777" w:rsidTr="004C0499">
        <w:tc>
          <w:tcPr>
            <w:tcW w:w="2448" w:type="dxa"/>
          </w:tcPr>
          <w:p w14:paraId="0127CDB1" w14:textId="62D2B8B6" w:rsidR="00862596" w:rsidRPr="00E62E80" w:rsidRDefault="00862596" w:rsidP="00740339">
            <w:pPr>
              <w:rPr>
                <w:rFonts w:ascii="Nirmala UI" w:hAnsi="Nirmala UI" w:cs="Nirmala UI"/>
                <w:b/>
                <w:sz w:val="20"/>
                <w:szCs w:val="20"/>
              </w:rPr>
            </w:pPr>
            <w:r w:rsidRPr="00E62E80">
              <w:rPr>
                <w:rFonts w:ascii="Nirmala UI" w:hAnsi="Nirmala UI" w:cs="Nirmala UI"/>
                <w:b/>
                <w:sz w:val="20"/>
                <w:szCs w:val="20"/>
              </w:rPr>
              <w:t>Safety Monitors</w:t>
            </w:r>
          </w:p>
        </w:tc>
        <w:tc>
          <w:tcPr>
            <w:tcW w:w="8190" w:type="dxa"/>
          </w:tcPr>
          <w:p w14:paraId="46B9E5FE" w14:textId="083E0CB4" w:rsidR="00862596" w:rsidRPr="00E62E80" w:rsidRDefault="00862596" w:rsidP="00955082">
            <w:pPr>
              <w:rPr>
                <w:rFonts w:ascii="Nirmala UI" w:hAnsi="Nirmala UI" w:cs="Nirmala UI"/>
                <w:sz w:val="20"/>
                <w:szCs w:val="20"/>
              </w:rPr>
            </w:pPr>
            <w:r w:rsidRPr="00E62E80">
              <w:rPr>
                <w:rFonts w:ascii="Nirmala UI" w:hAnsi="Nirmala UI" w:cs="Nirmala UI"/>
                <w:sz w:val="20"/>
                <w:szCs w:val="20"/>
              </w:rPr>
              <w:t>Provides supervision of students.</w:t>
            </w:r>
          </w:p>
          <w:p w14:paraId="6F0AAF1A" w14:textId="490512C8" w:rsidR="00862596" w:rsidRPr="00E62E80" w:rsidRDefault="00862596" w:rsidP="00955082">
            <w:pPr>
              <w:rPr>
                <w:rFonts w:ascii="Nirmala UI" w:hAnsi="Nirmala UI" w:cs="Nirmala UI"/>
                <w:sz w:val="20"/>
                <w:szCs w:val="20"/>
              </w:rPr>
            </w:pPr>
          </w:p>
        </w:tc>
        <w:tc>
          <w:tcPr>
            <w:tcW w:w="1080" w:type="dxa"/>
            <w:shd w:val="clear" w:color="auto" w:fill="FFFFFF" w:themeFill="background1"/>
          </w:tcPr>
          <w:p w14:paraId="20971DB5" w14:textId="76180245"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163.5</w:t>
            </w:r>
          </w:p>
        </w:tc>
        <w:tc>
          <w:tcPr>
            <w:tcW w:w="1530" w:type="dxa"/>
            <w:shd w:val="clear" w:color="auto" w:fill="FFFFFF" w:themeFill="background1"/>
          </w:tcPr>
          <w:p w14:paraId="6B2FA3C3" w14:textId="121C05CF" w:rsidR="00862596" w:rsidRPr="00E62E80" w:rsidRDefault="00862596" w:rsidP="00675A14">
            <w:pPr>
              <w:jc w:val="right"/>
              <w:rPr>
                <w:rFonts w:ascii="Nirmala UI" w:hAnsi="Nirmala UI" w:cs="Nirmala UI"/>
                <w:b/>
                <w:sz w:val="20"/>
                <w:szCs w:val="20"/>
              </w:rPr>
            </w:pPr>
            <w:r w:rsidRPr="00E62E80">
              <w:rPr>
                <w:rFonts w:ascii="Nirmala UI" w:hAnsi="Nirmala UI" w:cs="Nirmala UI"/>
                <w:b/>
                <w:sz w:val="20"/>
                <w:szCs w:val="20"/>
              </w:rPr>
              <w:t>$9.1M</w:t>
            </w:r>
          </w:p>
        </w:tc>
      </w:tr>
      <w:tr w:rsidR="00514A93" w:rsidRPr="00596FB8" w14:paraId="1231100A" w14:textId="77777777" w:rsidTr="00514A93">
        <w:tc>
          <w:tcPr>
            <w:tcW w:w="2448" w:type="dxa"/>
            <w:shd w:val="clear" w:color="auto" w:fill="FFFFFF" w:themeFill="background1"/>
          </w:tcPr>
          <w:p w14:paraId="456C7C72" w14:textId="283C5B21" w:rsidR="00514A93" w:rsidRPr="00514A93" w:rsidRDefault="00514A93" w:rsidP="00932689">
            <w:pPr>
              <w:rPr>
                <w:rFonts w:ascii="Nirmala UI" w:hAnsi="Nirmala UI" w:cs="Nirmala UI"/>
                <w:b/>
                <w:sz w:val="20"/>
                <w:szCs w:val="20"/>
              </w:rPr>
            </w:pPr>
            <w:r w:rsidRPr="00514A93">
              <w:rPr>
                <w:rFonts w:ascii="Nirmala UI" w:hAnsi="Nirmala UI" w:cs="Nirmala UI"/>
                <w:b/>
                <w:sz w:val="20"/>
                <w:szCs w:val="20"/>
              </w:rPr>
              <w:t>Supplementary for Secondary Alternative Education</w:t>
            </w:r>
          </w:p>
        </w:tc>
        <w:tc>
          <w:tcPr>
            <w:tcW w:w="8190" w:type="dxa"/>
            <w:shd w:val="clear" w:color="auto" w:fill="FFFFFF" w:themeFill="background1"/>
          </w:tcPr>
          <w:p w14:paraId="20C254B7" w14:textId="77777777" w:rsidR="00514A93" w:rsidRDefault="00514A93" w:rsidP="002844DB">
            <w:pPr>
              <w:rPr>
                <w:rFonts w:ascii="Nirmala UI" w:hAnsi="Nirmala UI" w:cs="Nirmala UI"/>
                <w:sz w:val="20"/>
                <w:szCs w:val="20"/>
              </w:rPr>
            </w:pPr>
            <w:r w:rsidRPr="00514A93">
              <w:rPr>
                <w:rFonts w:ascii="Nirmala UI" w:hAnsi="Nirmala UI" w:cs="Nirmala UI"/>
                <w:sz w:val="20"/>
                <w:szCs w:val="20"/>
              </w:rPr>
              <w:t xml:space="preserve">The delivery of programs to secondary </w:t>
            </w:r>
            <w:proofErr w:type="gramStart"/>
            <w:r w:rsidRPr="00514A93">
              <w:rPr>
                <w:rFonts w:ascii="Nirmala UI" w:hAnsi="Nirmala UI" w:cs="Nirmala UI"/>
                <w:sz w:val="20"/>
                <w:szCs w:val="20"/>
              </w:rPr>
              <w:t>students</w:t>
            </w:r>
            <w:proofErr w:type="gramEnd"/>
            <w:r w:rsidRPr="00514A93">
              <w:rPr>
                <w:rFonts w:ascii="Nirmala UI" w:hAnsi="Nirmala UI" w:cs="Nirmala UI"/>
                <w:sz w:val="20"/>
                <w:szCs w:val="20"/>
              </w:rPr>
              <w:t xml:space="preserve"> who are struggling academically, with social/emotional or school-engagement issues, challenges with regulation.</w:t>
            </w:r>
          </w:p>
          <w:p w14:paraId="5A38AA19" w14:textId="77777777" w:rsidR="0082290A" w:rsidRDefault="0082290A" w:rsidP="002844DB">
            <w:pPr>
              <w:rPr>
                <w:rFonts w:ascii="Nirmala UI" w:hAnsi="Nirmala UI" w:cs="Nirmala UI"/>
                <w:sz w:val="20"/>
                <w:szCs w:val="20"/>
              </w:rPr>
            </w:pPr>
          </w:p>
          <w:p w14:paraId="6DEEF10F" w14:textId="4AE27512" w:rsidR="0082290A" w:rsidRPr="00514A93" w:rsidRDefault="0082290A" w:rsidP="002844DB">
            <w:pPr>
              <w:rPr>
                <w:rFonts w:ascii="Nirmala UI" w:hAnsi="Nirmala UI" w:cs="Nirmala UI"/>
                <w:sz w:val="20"/>
                <w:szCs w:val="20"/>
              </w:rPr>
            </w:pPr>
            <w:r>
              <w:rPr>
                <w:rFonts w:ascii="Nirmala UI" w:hAnsi="Nirmala UI" w:cs="Nirmala UI"/>
                <w:sz w:val="20"/>
                <w:szCs w:val="20"/>
              </w:rPr>
              <w:t>Please note that elementary alternative schools are staffed to enrolment.</w:t>
            </w:r>
          </w:p>
        </w:tc>
        <w:tc>
          <w:tcPr>
            <w:tcW w:w="1080" w:type="dxa"/>
            <w:shd w:val="clear" w:color="auto" w:fill="FFFFFF" w:themeFill="background1"/>
          </w:tcPr>
          <w:p w14:paraId="02A2CFE1" w14:textId="38C57375" w:rsidR="00514A93" w:rsidRPr="00514A93" w:rsidRDefault="00514A93" w:rsidP="00675A14">
            <w:pPr>
              <w:jc w:val="right"/>
              <w:rPr>
                <w:rFonts w:ascii="Nirmala UI" w:hAnsi="Nirmala UI" w:cs="Nirmala UI"/>
                <w:b/>
                <w:sz w:val="20"/>
                <w:szCs w:val="20"/>
              </w:rPr>
            </w:pPr>
            <w:r w:rsidRPr="00514A93">
              <w:rPr>
                <w:rFonts w:ascii="Nirmala UI" w:hAnsi="Nirmala UI" w:cs="Nirmala UI"/>
                <w:b/>
                <w:sz w:val="20"/>
                <w:szCs w:val="20"/>
              </w:rPr>
              <w:t>6.5</w:t>
            </w:r>
          </w:p>
        </w:tc>
        <w:tc>
          <w:tcPr>
            <w:tcW w:w="1530" w:type="dxa"/>
            <w:shd w:val="clear" w:color="auto" w:fill="FFFFFF" w:themeFill="background1"/>
          </w:tcPr>
          <w:p w14:paraId="3B0D8EEE" w14:textId="19B2B3C7" w:rsidR="00514A93" w:rsidRPr="00514A93" w:rsidRDefault="00514A93" w:rsidP="00675A14">
            <w:pPr>
              <w:jc w:val="right"/>
              <w:rPr>
                <w:rFonts w:ascii="Nirmala UI" w:hAnsi="Nirmala UI" w:cs="Nirmala UI"/>
                <w:b/>
                <w:sz w:val="20"/>
                <w:szCs w:val="20"/>
              </w:rPr>
            </w:pPr>
            <w:r w:rsidRPr="00514A93">
              <w:rPr>
                <w:rFonts w:ascii="Nirmala UI" w:hAnsi="Nirmala UI" w:cs="Nirmala UI"/>
                <w:b/>
                <w:sz w:val="20"/>
                <w:szCs w:val="20"/>
              </w:rPr>
              <w:t>$0.7M</w:t>
            </w:r>
          </w:p>
        </w:tc>
      </w:tr>
    </w:tbl>
    <w:p w14:paraId="62F8337D" w14:textId="60C97752" w:rsidR="009835FE" w:rsidRPr="009835FE" w:rsidRDefault="00280200" w:rsidP="009835FE">
      <w:pPr>
        <w:spacing w:after="0"/>
        <w:rPr>
          <w:b/>
        </w:rPr>
      </w:pPr>
      <w:r>
        <w:rPr>
          <w:b/>
        </w:rPr>
        <w:t xml:space="preserve"> </w:t>
      </w:r>
    </w:p>
    <w:sectPr w:rsidR="009835FE" w:rsidRPr="009835FE" w:rsidSect="00F348D0">
      <w:headerReference w:type="default" r:id="rId9"/>
      <w:footerReference w:type="default" r:id="rId10"/>
      <w:pgSz w:w="15840" w:h="12240" w:orient="landscape"/>
      <w:pgMar w:top="1440" w:right="1440" w:bottom="1296"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1FDE9" w14:textId="77777777" w:rsidR="00E25030" w:rsidRDefault="00E25030" w:rsidP="00634A65">
      <w:pPr>
        <w:spacing w:after="0" w:line="240" w:lineRule="auto"/>
      </w:pPr>
      <w:r>
        <w:separator/>
      </w:r>
    </w:p>
  </w:endnote>
  <w:endnote w:type="continuationSeparator" w:id="0">
    <w:p w14:paraId="5FC826F1" w14:textId="77777777" w:rsidR="00E25030" w:rsidRDefault="00E25030" w:rsidP="0063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503030403020204"/>
    <w:charset w:val="00"/>
    <w:family w:val="swiss"/>
    <w:notTrueType/>
    <w:pitch w:val="variable"/>
    <w:sig w:usb0="20000287" w:usb1="00000001" w:usb2="00000000" w:usb3="00000000" w:csb0="000001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173501"/>
      <w:docPartObj>
        <w:docPartGallery w:val="Page Numbers (Bottom of Page)"/>
        <w:docPartUnique/>
      </w:docPartObj>
    </w:sdtPr>
    <w:sdtEndPr>
      <w:rPr>
        <w:noProof/>
      </w:rPr>
    </w:sdtEndPr>
    <w:sdtContent>
      <w:p w14:paraId="2599C2D5" w14:textId="77777777" w:rsidR="00634A65" w:rsidRDefault="00634A65">
        <w:pPr>
          <w:pStyle w:val="Footer"/>
          <w:jc w:val="right"/>
        </w:pPr>
        <w:r>
          <w:fldChar w:fldCharType="begin"/>
        </w:r>
        <w:r>
          <w:instrText xml:space="preserve"> PAGE   \* MERGEFORMAT </w:instrText>
        </w:r>
        <w:r>
          <w:fldChar w:fldCharType="separate"/>
        </w:r>
        <w:r w:rsidR="0040502D">
          <w:rPr>
            <w:noProof/>
          </w:rPr>
          <w:t>1</w:t>
        </w:r>
        <w:r>
          <w:rPr>
            <w:noProof/>
          </w:rPr>
          <w:fldChar w:fldCharType="end"/>
        </w:r>
      </w:p>
    </w:sdtContent>
  </w:sdt>
  <w:p w14:paraId="16D42200" w14:textId="77777777" w:rsidR="00634A65" w:rsidRDefault="00634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B7048" w14:textId="77777777" w:rsidR="00E25030" w:rsidRDefault="00E25030" w:rsidP="00634A65">
      <w:pPr>
        <w:spacing w:after="0" w:line="240" w:lineRule="auto"/>
      </w:pPr>
      <w:r>
        <w:separator/>
      </w:r>
    </w:p>
  </w:footnote>
  <w:footnote w:type="continuationSeparator" w:id="0">
    <w:p w14:paraId="7A5D04A9" w14:textId="77777777" w:rsidR="00E25030" w:rsidRDefault="00E25030" w:rsidP="00634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6839A" w14:textId="77777777" w:rsidR="00634A65" w:rsidRDefault="00634A65">
    <w:pPr>
      <w:pStyle w:val="Header"/>
      <w:jc w:val="right"/>
    </w:pPr>
  </w:p>
  <w:p w14:paraId="0C738144" w14:textId="77777777" w:rsidR="00634A65" w:rsidRDefault="00634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6E08"/>
    <w:multiLevelType w:val="hybridMultilevel"/>
    <w:tmpl w:val="51DA95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66D273F"/>
    <w:multiLevelType w:val="hybridMultilevel"/>
    <w:tmpl w:val="9880C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E323C1"/>
    <w:multiLevelType w:val="hybridMultilevel"/>
    <w:tmpl w:val="D2FE1B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D826CE6"/>
    <w:multiLevelType w:val="hybridMultilevel"/>
    <w:tmpl w:val="3D6CE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4A1E08"/>
    <w:multiLevelType w:val="hybridMultilevel"/>
    <w:tmpl w:val="97C4E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162211F"/>
    <w:multiLevelType w:val="hybridMultilevel"/>
    <w:tmpl w:val="91944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DF20AA"/>
    <w:multiLevelType w:val="hybridMultilevel"/>
    <w:tmpl w:val="897AB0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nsid w:val="131833F4"/>
    <w:multiLevelType w:val="hybridMultilevel"/>
    <w:tmpl w:val="94BA15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151E4E99"/>
    <w:multiLevelType w:val="hybridMultilevel"/>
    <w:tmpl w:val="6A12C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6DB090E"/>
    <w:multiLevelType w:val="hybridMultilevel"/>
    <w:tmpl w:val="16424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D4F52"/>
    <w:multiLevelType w:val="hybridMultilevel"/>
    <w:tmpl w:val="9B221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0B7ADC"/>
    <w:multiLevelType w:val="hybridMultilevel"/>
    <w:tmpl w:val="46F23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3E53350"/>
    <w:multiLevelType w:val="hybridMultilevel"/>
    <w:tmpl w:val="A6F46B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254E6B4F"/>
    <w:multiLevelType w:val="hybridMultilevel"/>
    <w:tmpl w:val="11ECE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72E412F"/>
    <w:multiLevelType w:val="hybridMultilevel"/>
    <w:tmpl w:val="D422D0DA"/>
    <w:lvl w:ilvl="0" w:tplc="10090001">
      <w:start w:val="1"/>
      <w:numFmt w:val="bullet"/>
      <w:lvlText w:val=""/>
      <w:lvlJc w:val="left"/>
      <w:pPr>
        <w:ind w:left="808" w:hanging="360"/>
      </w:pPr>
      <w:rPr>
        <w:rFonts w:ascii="Symbol" w:hAnsi="Symbol" w:hint="default"/>
      </w:rPr>
    </w:lvl>
    <w:lvl w:ilvl="1" w:tplc="10090003" w:tentative="1">
      <w:start w:val="1"/>
      <w:numFmt w:val="bullet"/>
      <w:lvlText w:val="o"/>
      <w:lvlJc w:val="left"/>
      <w:pPr>
        <w:ind w:left="1528" w:hanging="360"/>
      </w:pPr>
      <w:rPr>
        <w:rFonts w:ascii="Courier New" w:hAnsi="Courier New" w:cs="Courier New" w:hint="default"/>
      </w:rPr>
    </w:lvl>
    <w:lvl w:ilvl="2" w:tplc="10090005" w:tentative="1">
      <w:start w:val="1"/>
      <w:numFmt w:val="bullet"/>
      <w:lvlText w:val=""/>
      <w:lvlJc w:val="left"/>
      <w:pPr>
        <w:ind w:left="2248" w:hanging="360"/>
      </w:pPr>
      <w:rPr>
        <w:rFonts w:ascii="Wingdings" w:hAnsi="Wingdings" w:hint="default"/>
      </w:rPr>
    </w:lvl>
    <w:lvl w:ilvl="3" w:tplc="10090001" w:tentative="1">
      <w:start w:val="1"/>
      <w:numFmt w:val="bullet"/>
      <w:lvlText w:val=""/>
      <w:lvlJc w:val="left"/>
      <w:pPr>
        <w:ind w:left="2968" w:hanging="360"/>
      </w:pPr>
      <w:rPr>
        <w:rFonts w:ascii="Symbol" w:hAnsi="Symbol" w:hint="default"/>
      </w:rPr>
    </w:lvl>
    <w:lvl w:ilvl="4" w:tplc="10090003" w:tentative="1">
      <w:start w:val="1"/>
      <w:numFmt w:val="bullet"/>
      <w:lvlText w:val="o"/>
      <w:lvlJc w:val="left"/>
      <w:pPr>
        <w:ind w:left="3688" w:hanging="360"/>
      </w:pPr>
      <w:rPr>
        <w:rFonts w:ascii="Courier New" w:hAnsi="Courier New" w:cs="Courier New" w:hint="default"/>
      </w:rPr>
    </w:lvl>
    <w:lvl w:ilvl="5" w:tplc="10090005" w:tentative="1">
      <w:start w:val="1"/>
      <w:numFmt w:val="bullet"/>
      <w:lvlText w:val=""/>
      <w:lvlJc w:val="left"/>
      <w:pPr>
        <w:ind w:left="4408" w:hanging="360"/>
      </w:pPr>
      <w:rPr>
        <w:rFonts w:ascii="Wingdings" w:hAnsi="Wingdings" w:hint="default"/>
      </w:rPr>
    </w:lvl>
    <w:lvl w:ilvl="6" w:tplc="10090001" w:tentative="1">
      <w:start w:val="1"/>
      <w:numFmt w:val="bullet"/>
      <w:lvlText w:val=""/>
      <w:lvlJc w:val="left"/>
      <w:pPr>
        <w:ind w:left="5128" w:hanging="360"/>
      </w:pPr>
      <w:rPr>
        <w:rFonts w:ascii="Symbol" w:hAnsi="Symbol" w:hint="default"/>
      </w:rPr>
    </w:lvl>
    <w:lvl w:ilvl="7" w:tplc="10090003" w:tentative="1">
      <w:start w:val="1"/>
      <w:numFmt w:val="bullet"/>
      <w:lvlText w:val="o"/>
      <w:lvlJc w:val="left"/>
      <w:pPr>
        <w:ind w:left="5848" w:hanging="360"/>
      </w:pPr>
      <w:rPr>
        <w:rFonts w:ascii="Courier New" w:hAnsi="Courier New" w:cs="Courier New" w:hint="default"/>
      </w:rPr>
    </w:lvl>
    <w:lvl w:ilvl="8" w:tplc="10090005" w:tentative="1">
      <w:start w:val="1"/>
      <w:numFmt w:val="bullet"/>
      <w:lvlText w:val=""/>
      <w:lvlJc w:val="left"/>
      <w:pPr>
        <w:ind w:left="6568" w:hanging="360"/>
      </w:pPr>
      <w:rPr>
        <w:rFonts w:ascii="Wingdings" w:hAnsi="Wingdings" w:hint="default"/>
      </w:rPr>
    </w:lvl>
  </w:abstractNum>
  <w:abstractNum w:abstractNumId="15">
    <w:nsid w:val="28090D4E"/>
    <w:multiLevelType w:val="hybridMultilevel"/>
    <w:tmpl w:val="315CDB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CAA2B6E"/>
    <w:multiLevelType w:val="hybridMultilevel"/>
    <w:tmpl w:val="8A208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F602451"/>
    <w:multiLevelType w:val="hybridMultilevel"/>
    <w:tmpl w:val="C876E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06E2D15"/>
    <w:multiLevelType w:val="hybridMultilevel"/>
    <w:tmpl w:val="807C9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43B7B4B"/>
    <w:multiLevelType w:val="hybridMultilevel"/>
    <w:tmpl w:val="67C2D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86D745B"/>
    <w:multiLevelType w:val="hybridMultilevel"/>
    <w:tmpl w:val="0ED41C7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9DF62F3"/>
    <w:multiLevelType w:val="hybridMultilevel"/>
    <w:tmpl w:val="38E639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ABF7CD1"/>
    <w:multiLevelType w:val="hybridMultilevel"/>
    <w:tmpl w:val="5D086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25A433C"/>
    <w:multiLevelType w:val="hybridMultilevel"/>
    <w:tmpl w:val="184EAE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28354F5"/>
    <w:multiLevelType w:val="hybridMultilevel"/>
    <w:tmpl w:val="0E24C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7C81287"/>
    <w:multiLevelType w:val="hybridMultilevel"/>
    <w:tmpl w:val="63ECD8C0"/>
    <w:lvl w:ilvl="0" w:tplc="5A5CEA6A">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98C4C9C"/>
    <w:multiLevelType w:val="hybridMultilevel"/>
    <w:tmpl w:val="7B6C4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2606E4"/>
    <w:multiLevelType w:val="hybridMultilevel"/>
    <w:tmpl w:val="F3861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D29507D"/>
    <w:multiLevelType w:val="hybridMultilevel"/>
    <w:tmpl w:val="3948D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0A8064F"/>
    <w:multiLevelType w:val="hybridMultilevel"/>
    <w:tmpl w:val="47B2EE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5F3113A3"/>
    <w:multiLevelType w:val="hybridMultilevel"/>
    <w:tmpl w:val="73248F20"/>
    <w:lvl w:ilvl="0" w:tplc="5BC64F7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54AE4"/>
    <w:multiLevelType w:val="hybridMultilevel"/>
    <w:tmpl w:val="ABBCC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6CA204F"/>
    <w:multiLevelType w:val="hybridMultilevel"/>
    <w:tmpl w:val="335CB7BE"/>
    <w:lvl w:ilvl="0" w:tplc="1B4C75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6B0652"/>
    <w:multiLevelType w:val="hybridMultilevel"/>
    <w:tmpl w:val="3AAE9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C666122"/>
    <w:multiLevelType w:val="hybridMultilevel"/>
    <w:tmpl w:val="16F40AD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6F2D57E5"/>
    <w:multiLevelType w:val="hybridMultilevel"/>
    <w:tmpl w:val="33860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FAF5AE5"/>
    <w:multiLevelType w:val="hybridMultilevel"/>
    <w:tmpl w:val="9CC6E4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34F714F"/>
    <w:multiLevelType w:val="hybridMultilevel"/>
    <w:tmpl w:val="876EF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B3877C0"/>
    <w:multiLevelType w:val="hybridMultilevel"/>
    <w:tmpl w:val="5B3A5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C64664E"/>
    <w:multiLevelType w:val="hybridMultilevel"/>
    <w:tmpl w:val="293A0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E851027"/>
    <w:multiLevelType w:val="hybridMultilevel"/>
    <w:tmpl w:val="9BC8E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2"/>
  </w:num>
  <w:num w:numId="4">
    <w:abstractNumId w:val="7"/>
  </w:num>
  <w:num w:numId="5">
    <w:abstractNumId w:val="40"/>
  </w:num>
  <w:num w:numId="6">
    <w:abstractNumId w:val="20"/>
  </w:num>
  <w:num w:numId="7">
    <w:abstractNumId w:val="34"/>
  </w:num>
  <w:num w:numId="8">
    <w:abstractNumId w:val="38"/>
  </w:num>
  <w:num w:numId="9">
    <w:abstractNumId w:val="29"/>
  </w:num>
  <w:num w:numId="10">
    <w:abstractNumId w:val="11"/>
  </w:num>
  <w:num w:numId="11">
    <w:abstractNumId w:val="19"/>
  </w:num>
  <w:num w:numId="12">
    <w:abstractNumId w:val="18"/>
  </w:num>
  <w:num w:numId="13">
    <w:abstractNumId w:val="31"/>
  </w:num>
  <w:num w:numId="14">
    <w:abstractNumId w:val="9"/>
  </w:num>
  <w:num w:numId="15">
    <w:abstractNumId w:val="21"/>
  </w:num>
  <w:num w:numId="16">
    <w:abstractNumId w:val="5"/>
  </w:num>
  <w:num w:numId="17">
    <w:abstractNumId w:val="37"/>
  </w:num>
  <w:num w:numId="18">
    <w:abstractNumId w:val="1"/>
  </w:num>
  <w:num w:numId="19">
    <w:abstractNumId w:val="26"/>
  </w:num>
  <w:num w:numId="20">
    <w:abstractNumId w:val="8"/>
  </w:num>
  <w:num w:numId="21">
    <w:abstractNumId w:val="24"/>
  </w:num>
  <w:num w:numId="22">
    <w:abstractNumId w:val="28"/>
  </w:num>
  <w:num w:numId="23">
    <w:abstractNumId w:val="17"/>
  </w:num>
  <w:num w:numId="24">
    <w:abstractNumId w:val="3"/>
  </w:num>
  <w:num w:numId="25">
    <w:abstractNumId w:val="14"/>
  </w:num>
  <w:num w:numId="26">
    <w:abstractNumId w:val="16"/>
  </w:num>
  <w:num w:numId="27">
    <w:abstractNumId w:val="39"/>
  </w:num>
  <w:num w:numId="28">
    <w:abstractNumId w:val="35"/>
  </w:num>
  <w:num w:numId="29">
    <w:abstractNumId w:val="33"/>
  </w:num>
  <w:num w:numId="30">
    <w:abstractNumId w:val="36"/>
  </w:num>
  <w:num w:numId="31">
    <w:abstractNumId w:val="15"/>
  </w:num>
  <w:num w:numId="32">
    <w:abstractNumId w:val="22"/>
  </w:num>
  <w:num w:numId="33">
    <w:abstractNumId w:val="10"/>
  </w:num>
  <w:num w:numId="34">
    <w:abstractNumId w:val="23"/>
  </w:num>
  <w:num w:numId="35">
    <w:abstractNumId w:val="32"/>
  </w:num>
  <w:num w:numId="36">
    <w:abstractNumId w:val="13"/>
  </w:num>
  <w:num w:numId="37">
    <w:abstractNumId w:val="4"/>
  </w:num>
  <w:num w:numId="38">
    <w:abstractNumId w:val="0"/>
  </w:num>
  <w:num w:numId="39">
    <w:abstractNumId w:val="27"/>
  </w:num>
  <w:num w:numId="40">
    <w:abstractNumId w:val="3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FE"/>
    <w:rsid w:val="00000CB6"/>
    <w:rsid w:val="00005087"/>
    <w:rsid w:val="0000529B"/>
    <w:rsid w:val="00023A74"/>
    <w:rsid w:val="00026AF4"/>
    <w:rsid w:val="000404E6"/>
    <w:rsid w:val="00040864"/>
    <w:rsid w:val="00044F46"/>
    <w:rsid w:val="0004662A"/>
    <w:rsid w:val="000527D4"/>
    <w:rsid w:val="00055B6F"/>
    <w:rsid w:val="00057AA2"/>
    <w:rsid w:val="000607C9"/>
    <w:rsid w:val="00064DE5"/>
    <w:rsid w:val="000731DB"/>
    <w:rsid w:val="00084C9E"/>
    <w:rsid w:val="000A34F1"/>
    <w:rsid w:val="000B3B76"/>
    <w:rsid w:val="000D044C"/>
    <w:rsid w:val="000D2681"/>
    <w:rsid w:val="000F1E42"/>
    <w:rsid w:val="000F34D7"/>
    <w:rsid w:val="00110557"/>
    <w:rsid w:val="0011536D"/>
    <w:rsid w:val="0012046B"/>
    <w:rsid w:val="00125002"/>
    <w:rsid w:val="0013465B"/>
    <w:rsid w:val="001431DF"/>
    <w:rsid w:val="001560FA"/>
    <w:rsid w:val="001573F7"/>
    <w:rsid w:val="0016008A"/>
    <w:rsid w:val="001B36C4"/>
    <w:rsid w:val="001C52ED"/>
    <w:rsid w:val="001D059D"/>
    <w:rsid w:val="001D7E46"/>
    <w:rsid w:val="0020340C"/>
    <w:rsid w:val="002061B7"/>
    <w:rsid w:val="002120DE"/>
    <w:rsid w:val="002203C9"/>
    <w:rsid w:val="00246C62"/>
    <w:rsid w:val="00247332"/>
    <w:rsid w:val="00256BBA"/>
    <w:rsid w:val="00280200"/>
    <w:rsid w:val="002844DB"/>
    <w:rsid w:val="002B16F6"/>
    <w:rsid w:val="002D3214"/>
    <w:rsid w:val="002E5280"/>
    <w:rsid w:val="002F11D0"/>
    <w:rsid w:val="0030697F"/>
    <w:rsid w:val="00307A13"/>
    <w:rsid w:val="0031329A"/>
    <w:rsid w:val="00324982"/>
    <w:rsid w:val="003252A8"/>
    <w:rsid w:val="00335B98"/>
    <w:rsid w:val="00351D75"/>
    <w:rsid w:val="0036197F"/>
    <w:rsid w:val="00370F53"/>
    <w:rsid w:val="00372D1D"/>
    <w:rsid w:val="003C0CE7"/>
    <w:rsid w:val="003C4BCA"/>
    <w:rsid w:val="0040502D"/>
    <w:rsid w:val="00411E18"/>
    <w:rsid w:val="004459F3"/>
    <w:rsid w:val="00472A5E"/>
    <w:rsid w:val="00486E02"/>
    <w:rsid w:val="004966FF"/>
    <w:rsid w:val="004B2BAF"/>
    <w:rsid w:val="004C0499"/>
    <w:rsid w:val="004E5ADF"/>
    <w:rsid w:val="004F4E6A"/>
    <w:rsid w:val="004F57DB"/>
    <w:rsid w:val="0051071F"/>
    <w:rsid w:val="00514A93"/>
    <w:rsid w:val="00527CF1"/>
    <w:rsid w:val="00554448"/>
    <w:rsid w:val="005673DF"/>
    <w:rsid w:val="005877AE"/>
    <w:rsid w:val="00596FB8"/>
    <w:rsid w:val="005D171C"/>
    <w:rsid w:val="005D5A1D"/>
    <w:rsid w:val="005D7FF7"/>
    <w:rsid w:val="005E580C"/>
    <w:rsid w:val="00610ED7"/>
    <w:rsid w:val="00630791"/>
    <w:rsid w:val="00634A65"/>
    <w:rsid w:val="00637FF8"/>
    <w:rsid w:val="00647242"/>
    <w:rsid w:val="006544B3"/>
    <w:rsid w:val="00656C31"/>
    <w:rsid w:val="00661748"/>
    <w:rsid w:val="00662FD7"/>
    <w:rsid w:val="00675A14"/>
    <w:rsid w:val="00675B16"/>
    <w:rsid w:val="006A0844"/>
    <w:rsid w:val="006C168D"/>
    <w:rsid w:val="006C1A7D"/>
    <w:rsid w:val="00700F7F"/>
    <w:rsid w:val="00707490"/>
    <w:rsid w:val="00710483"/>
    <w:rsid w:val="00730E48"/>
    <w:rsid w:val="00740339"/>
    <w:rsid w:val="00745BB5"/>
    <w:rsid w:val="0074638C"/>
    <w:rsid w:val="00747207"/>
    <w:rsid w:val="00771823"/>
    <w:rsid w:val="0078579F"/>
    <w:rsid w:val="00797ACE"/>
    <w:rsid w:val="007A7B7F"/>
    <w:rsid w:val="007B2FCF"/>
    <w:rsid w:val="007C087E"/>
    <w:rsid w:val="007E5CE4"/>
    <w:rsid w:val="008100A4"/>
    <w:rsid w:val="0082290A"/>
    <w:rsid w:val="008277B2"/>
    <w:rsid w:val="00844580"/>
    <w:rsid w:val="00853097"/>
    <w:rsid w:val="008530B0"/>
    <w:rsid w:val="00862596"/>
    <w:rsid w:val="00880BC5"/>
    <w:rsid w:val="00892343"/>
    <w:rsid w:val="008979F4"/>
    <w:rsid w:val="008D3C7B"/>
    <w:rsid w:val="008F1567"/>
    <w:rsid w:val="00901711"/>
    <w:rsid w:val="00906DD0"/>
    <w:rsid w:val="0091111F"/>
    <w:rsid w:val="0091756F"/>
    <w:rsid w:val="00932689"/>
    <w:rsid w:val="00940CFE"/>
    <w:rsid w:val="009410E4"/>
    <w:rsid w:val="00955082"/>
    <w:rsid w:val="009660A7"/>
    <w:rsid w:val="00972131"/>
    <w:rsid w:val="00977197"/>
    <w:rsid w:val="009835FE"/>
    <w:rsid w:val="009852C0"/>
    <w:rsid w:val="0099149C"/>
    <w:rsid w:val="009B3D65"/>
    <w:rsid w:val="009B6E01"/>
    <w:rsid w:val="009C1317"/>
    <w:rsid w:val="009D0DAE"/>
    <w:rsid w:val="009D23C1"/>
    <w:rsid w:val="009F252D"/>
    <w:rsid w:val="00A00746"/>
    <w:rsid w:val="00A1154E"/>
    <w:rsid w:val="00A117B6"/>
    <w:rsid w:val="00A22748"/>
    <w:rsid w:val="00A27741"/>
    <w:rsid w:val="00A42D41"/>
    <w:rsid w:val="00A540DB"/>
    <w:rsid w:val="00A569DC"/>
    <w:rsid w:val="00A700D3"/>
    <w:rsid w:val="00A82501"/>
    <w:rsid w:val="00A84A7D"/>
    <w:rsid w:val="00AA43A3"/>
    <w:rsid w:val="00AB5405"/>
    <w:rsid w:val="00AC2BD6"/>
    <w:rsid w:val="00AC6B42"/>
    <w:rsid w:val="00AD7CD6"/>
    <w:rsid w:val="00AE2058"/>
    <w:rsid w:val="00B11119"/>
    <w:rsid w:val="00B52501"/>
    <w:rsid w:val="00B661C5"/>
    <w:rsid w:val="00B815F8"/>
    <w:rsid w:val="00BA059F"/>
    <w:rsid w:val="00BA1FD5"/>
    <w:rsid w:val="00BB5222"/>
    <w:rsid w:val="00BC2CE5"/>
    <w:rsid w:val="00BF075B"/>
    <w:rsid w:val="00BF0EBE"/>
    <w:rsid w:val="00C039F9"/>
    <w:rsid w:val="00C1175D"/>
    <w:rsid w:val="00C265B7"/>
    <w:rsid w:val="00C37DA0"/>
    <w:rsid w:val="00C40232"/>
    <w:rsid w:val="00C526CE"/>
    <w:rsid w:val="00C52A28"/>
    <w:rsid w:val="00C541EF"/>
    <w:rsid w:val="00C75918"/>
    <w:rsid w:val="00C81551"/>
    <w:rsid w:val="00C82BC5"/>
    <w:rsid w:val="00CA234A"/>
    <w:rsid w:val="00CC2EE8"/>
    <w:rsid w:val="00CC4B68"/>
    <w:rsid w:val="00CC5828"/>
    <w:rsid w:val="00CD320B"/>
    <w:rsid w:val="00CD48F8"/>
    <w:rsid w:val="00CD4B38"/>
    <w:rsid w:val="00CD688D"/>
    <w:rsid w:val="00CE1890"/>
    <w:rsid w:val="00CF45A9"/>
    <w:rsid w:val="00D1140F"/>
    <w:rsid w:val="00D377E1"/>
    <w:rsid w:val="00D40E6C"/>
    <w:rsid w:val="00D5121E"/>
    <w:rsid w:val="00D560F2"/>
    <w:rsid w:val="00D81007"/>
    <w:rsid w:val="00D81188"/>
    <w:rsid w:val="00D92917"/>
    <w:rsid w:val="00DB3BA5"/>
    <w:rsid w:val="00DB4360"/>
    <w:rsid w:val="00DB4D75"/>
    <w:rsid w:val="00DB636D"/>
    <w:rsid w:val="00DC237C"/>
    <w:rsid w:val="00DC3730"/>
    <w:rsid w:val="00DC3BE1"/>
    <w:rsid w:val="00DD45F1"/>
    <w:rsid w:val="00DD48E5"/>
    <w:rsid w:val="00DE0C8F"/>
    <w:rsid w:val="00E053DA"/>
    <w:rsid w:val="00E152BB"/>
    <w:rsid w:val="00E168D9"/>
    <w:rsid w:val="00E17F5D"/>
    <w:rsid w:val="00E21731"/>
    <w:rsid w:val="00E25030"/>
    <w:rsid w:val="00E40F7F"/>
    <w:rsid w:val="00E428DA"/>
    <w:rsid w:val="00E62E80"/>
    <w:rsid w:val="00E635C4"/>
    <w:rsid w:val="00E86FDD"/>
    <w:rsid w:val="00EA3EA1"/>
    <w:rsid w:val="00EB208E"/>
    <w:rsid w:val="00ED4D62"/>
    <w:rsid w:val="00EE3BCC"/>
    <w:rsid w:val="00EF54A2"/>
    <w:rsid w:val="00F06BAE"/>
    <w:rsid w:val="00F070BD"/>
    <w:rsid w:val="00F348D0"/>
    <w:rsid w:val="00F40A9D"/>
    <w:rsid w:val="00F411A5"/>
    <w:rsid w:val="00F41ED8"/>
    <w:rsid w:val="00F60E6A"/>
    <w:rsid w:val="00F712FC"/>
    <w:rsid w:val="00F74B55"/>
    <w:rsid w:val="00F83D57"/>
    <w:rsid w:val="00F87A52"/>
    <w:rsid w:val="00FF23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360"/>
    <w:pPr>
      <w:ind w:left="720"/>
      <w:contextualSpacing/>
    </w:pPr>
  </w:style>
  <w:style w:type="paragraph" w:styleId="PlainText">
    <w:name w:val="Plain Text"/>
    <w:basedOn w:val="Normal"/>
    <w:link w:val="PlainTextChar"/>
    <w:uiPriority w:val="99"/>
    <w:unhideWhenUsed/>
    <w:rsid w:val="00A84A7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84A7D"/>
    <w:rPr>
      <w:rFonts w:ascii="Calibri" w:hAnsi="Calibri"/>
      <w:szCs w:val="21"/>
    </w:rPr>
  </w:style>
  <w:style w:type="paragraph" w:styleId="BalloonText">
    <w:name w:val="Balloon Text"/>
    <w:basedOn w:val="Normal"/>
    <w:link w:val="BalloonTextChar"/>
    <w:uiPriority w:val="99"/>
    <w:semiHidden/>
    <w:unhideWhenUsed/>
    <w:rsid w:val="009B3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D65"/>
    <w:rPr>
      <w:rFonts w:ascii="Tahoma" w:hAnsi="Tahoma" w:cs="Tahoma"/>
      <w:sz w:val="16"/>
      <w:szCs w:val="16"/>
    </w:rPr>
  </w:style>
  <w:style w:type="paragraph" w:styleId="Header">
    <w:name w:val="header"/>
    <w:basedOn w:val="Normal"/>
    <w:link w:val="HeaderChar"/>
    <w:uiPriority w:val="99"/>
    <w:unhideWhenUsed/>
    <w:rsid w:val="0063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65"/>
  </w:style>
  <w:style w:type="paragraph" w:styleId="Footer">
    <w:name w:val="footer"/>
    <w:basedOn w:val="Normal"/>
    <w:link w:val="FooterChar"/>
    <w:uiPriority w:val="99"/>
    <w:unhideWhenUsed/>
    <w:rsid w:val="0063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A65"/>
  </w:style>
  <w:style w:type="paragraph" w:customStyle="1" w:styleId="Default">
    <w:name w:val="Default"/>
    <w:rsid w:val="00514A93"/>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360"/>
    <w:pPr>
      <w:ind w:left="720"/>
      <w:contextualSpacing/>
    </w:pPr>
  </w:style>
  <w:style w:type="paragraph" w:styleId="PlainText">
    <w:name w:val="Plain Text"/>
    <w:basedOn w:val="Normal"/>
    <w:link w:val="PlainTextChar"/>
    <w:uiPriority w:val="99"/>
    <w:unhideWhenUsed/>
    <w:rsid w:val="00A84A7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84A7D"/>
    <w:rPr>
      <w:rFonts w:ascii="Calibri" w:hAnsi="Calibri"/>
      <w:szCs w:val="21"/>
    </w:rPr>
  </w:style>
  <w:style w:type="paragraph" w:styleId="BalloonText">
    <w:name w:val="Balloon Text"/>
    <w:basedOn w:val="Normal"/>
    <w:link w:val="BalloonTextChar"/>
    <w:uiPriority w:val="99"/>
    <w:semiHidden/>
    <w:unhideWhenUsed/>
    <w:rsid w:val="009B3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D65"/>
    <w:rPr>
      <w:rFonts w:ascii="Tahoma" w:hAnsi="Tahoma" w:cs="Tahoma"/>
      <w:sz w:val="16"/>
      <w:szCs w:val="16"/>
    </w:rPr>
  </w:style>
  <w:style w:type="paragraph" w:styleId="Header">
    <w:name w:val="header"/>
    <w:basedOn w:val="Normal"/>
    <w:link w:val="HeaderChar"/>
    <w:uiPriority w:val="99"/>
    <w:unhideWhenUsed/>
    <w:rsid w:val="0063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65"/>
  </w:style>
  <w:style w:type="paragraph" w:styleId="Footer">
    <w:name w:val="footer"/>
    <w:basedOn w:val="Normal"/>
    <w:link w:val="FooterChar"/>
    <w:uiPriority w:val="99"/>
    <w:unhideWhenUsed/>
    <w:rsid w:val="0063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A65"/>
  </w:style>
  <w:style w:type="paragraph" w:customStyle="1" w:styleId="Default">
    <w:name w:val="Default"/>
    <w:rsid w:val="00514A93"/>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8455">
      <w:bodyDiv w:val="1"/>
      <w:marLeft w:val="0"/>
      <w:marRight w:val="0"/>
      <w:marTop w:val="0"/>
      <w:marBottom w:val="0"/>
      <w:divBdr>
        <w:top w:val="none" w:sz="0" w:space="0" w:color="auto"/>
        <w:left w:val="none" w:sz="0" w:space="0" w:color="auto"/>
        <w:bottom w:val="none" w:sz="0" w:space="0" w:color="auto"/>
        <w:right w:val="none" w:sz="0" w:space="0" w:color="auto"/>
      </w:divBdr>
    </w:div>
    <w:div w:id="169612333">
      <w:bodyDiv w:val="1"/>
      <w:marLeft w:val="0"/>
      <w:marRight w:val="0"/>
      <w:marTop w:val="0"/>
      <w:marBottom w:val="0"/>
      <w:divBdr>
        <w:top w:val="none" w:sz="0" w:space="0" w:color="auto"/>
        <w:left w:val="none" w:sz="0" w:space="0" w:color="auto"/>
        <w:bottom w:val="none" w:sz="0" w:space="0" w:color="auto"/>
        <w:right w:val="none" w:sz="0" w:space="0" w:color="auto"/>
      </w:divBdr>
    </w:div>
    <w:div w:id="229578710">
      <w:bodyDiv w:val="1"/>
      <w:marLeft w:val="0"/>
      <w:marRight w:val="0"/>
      <w:marTop w:val="0"/>
      <w:marBottom w:val="0"/>
      <w:divBdr>
        <w:top w:val="none" w:sz="0" w:space="0" w:color="auto"/>
        <w:left w:val="none" w:sz="0" w:space="0" w:color="auto"/>
        <w:bottom w:val="none" w:sz="0" w:space="0" w:color="auto"/>
        <w:right w:val="none" w:sz="0" w:space="0" w:color="auto"/>
      </w:divBdr>
    </w:div>
    <w:div w:id="298456346">
      <w:bodyDiv w:val="1"/>
      <w:marLeft w:val="0"/>
      <w:marRight w:val="0"/>
      <w:marTop w:val="0"/>
      <w:marBottom w:val="0"/>
      <w:divBdr>
        <w:top w:val="none" w:sz="0" w:space="0" w:color="auto"/>
        <w:left w:val="none" w:sz="0" w:space="0" w:color="auto"/>
        <w:bottom w:val="none" w:sz="0" w:space="0" w:color="auto"/>
        <w:right w:val="none" w:sz="0" w:space="0" w:color="auto"/>
      </w:divBdr>
    </w:div>
    <w:div w:id="463427720">
      <w:bodyDiv w:val="1"/>
      <w:marLeft w:val="0"/>
      <w:marRight w:val="0"/>
      <w:marTop w:val="0"/>
      <w:marBottom w:val="0"/>
      <w:divBdr>
        <w:top w:val="none" w:sz="0" w:space="0" w:color="auto"/>
        <w:left w:val="none" w:sz="0" w:space="0" w:color="auto"/>
        <w:bottom w:val="none" w:sz="0" w:space="0" w:color="auto"/>
        <w:right w:val="none" w:sz="0" w:space="0" w:color="auto"/>
      </w:divBdr>
    </w:div>
    <w:div w:id="574824978">
      <w:bodyDiv w:val="1"/>
      <w:marLeft w:val="0"/>
      <w:marRight w:val="0"/>
      <w:marTop w:val="0"/>
      <w:marBottom w:val="0"/>
      <w:divBdr>
        <w:top w:val="none" w:sz="0" w:space="0" w:color="auto"/>
        <w:left w:val="none" w:sz="0" w:space="0" w:color="auto"/>
        <w:bottom w:val="none" w:sz="0" w:space="0" w:color="auto"/>
        <w:right w:val="none" w:sz="0" w:space="0" w:color="auto"/>
      </w:divBdr>
    </w:div>
    <w:div w:id="653530932">
      <w:bodyDiv w:val="1"/>
      <w:marLeft w:val="0"/>
      <w:marRight w:val="0"/>
      <w:marTop w:val="0"/>
      <w:marBottom w:val="0"/>
      <w:divBdr>
        <w:top w:val="none" w:sz="0" w:space="0" w:color="auto"/>
        <w:left w:val="none" w:sz="0" w:space="0" w:color="auto"/>
        <w:bottom w:val="none" w:sz="0" w:space="0" w:color="auto"/>
        <w:right w:val="none" w:sz="0" w:space="0" w:color="auto"/>
      </w:divBdr>
    </w:div>
    <w:div w:id="702824153">
      <w:bodyDiv w:val="1"/>
      <w:marLeft w:val="0"/>
      <w:marRight w:val="0"/>
      <w:marTop w:val="0"/>
      <w:marBottom w:val="0"/>
      <w:divBdr>
        <w:top w:val="none" w:sz="0" w:space="0" w:color="auto"/>
        <w:left w:val="none" w:sz="0" w:space="0" w:color="auto"/>
        <w:bottom w:val="none" w:sz="0" w:space="0" w:color="auto"/>
        <w:right w:val="none" w:sz="0" w:space="0" w:color="auto"/>
      </w:divBdr>
    </w:div>
    <w:div w:id="720443040">
      <w:bodyDiv w:val="1"/>
      <w:marLeft w:val="0"/>
      <w:marRight w:val="0"/>
      <w:marTop w:val="0"/>
      <w:marBottom w:val="0"/>
      <w:divBdr>
        <w:top w:val="none" w:sz="0" w:space="0" w:color="auto"/>
        <w:left w:val="none" w:sz="0" w:space="0" w:color="auto"/>
        <w:bottom w:val="none" w:sz="0" w:space="0" w:color="auto"/>
        <w:right w:val="none" w:sz="0" w:space="0" w:color="auto"/>
      </w:divBdr>
    </w:div>
    <w:div w:id="722870718">
      <w:bodyDiv w:val="1"/>
      <w:marLeft w:val="0"/>
      <w:marRight w:val="0"/>
      <w:marTop w:val="0"/>
      <w:marBottom w:val="0"/>
      <w:divBdr>
        <w:top w:val="none" w:sz="0" w:space="0" w:color="auto"/>
        <w:left w:val="none" w:sz="0" w:space="0" w:color="auto"/>
        <w:bottom w:val="none" w:sz="0" w:space="0" w:color="auto"/>
        <w:right w:val="none" w:sz="0" w:space="0" w:color="auto"/>
      </w:divBdr>
    </w:div>
    <w:div w:id="798498851">
      <w:bodyDiv w:val="1"/>
      <w:marLeft w:val="0"/>
      <w:marRight w:val="0"/>
      <w:marTop w:val="0"/>
      <w:marBottom w:val="0"/>
      <w:divBdr>
        <w:top w:val="none" w:sz="0" w:space="0" w:color="auto"/>
        <w:left w:val="none" w:sz="0" w:space="0" w:color="auto"/>
        <w:bottom w:val="none" w:sz="0" w:space="0" w:color="auto"/>
        <w:right w:val="none" w:sz="0" w:space="0" w:color="auto"/>
      </w:divBdr>
    </w:div>
    <w:div w:id="837426931">
      <w:bodyDiv w:val="1"/>
      <w:marLeft w:val="0"/>
      <w:marRight w:val="0"/>
      <w:marTop w:val="0"/>
      <w:marBottom w:val="0"/>
      <w:divBdr>
        <w:top w:val="none" w:sz="0" w:space="0" w:color="auto"/>
        <w:left w:val="none" w:sz="0" w:space="0" w:color="auto"/>
        <w:bottom w:val="none" w:sz="0" w:space="0" w:color="auto"/>
        <w:right w:val="none" w:sz="0" w:space="0" w:color="auto"/>
      </w:divBdr>
    </w:div>
    <w:div w:id="1042638108">
      <w:bodyDiv w:val="1"/>
      <w:marLeft w:val="0"/>
      <w:marRight w:val="0"/>
      <w:marTop w:val="0"/>
      <w:marBottom w:val="0"/>
      <w:divBdr>
        <w:top w:val="none" w:sz="0" w:space="0" w:color="auto"/>
        <w:left w:val="none" w:sz="0" w:space="0" w:color="auto"/>
        <w:bottom w:val="none" w:sz="0" w:space="0" w:color="auto"/>
        <w:right w:val="none" w:sz="0" w:space="0" w:color="auto"/>
      </w:divBdr>
    </w:div>
    <w:div w:id="1111389075">
      <w:bodyDiv w:val="1"/>
      <w:marLeft w:val="0"/>
      <w:marRight w:val="0"/>
      <w:marTop w:val="0"/>
      <w:marBottom w:val="0"/>
      <w:divBdr>
        <w:top w:val="none" w:sz="0" w:space="0" w:color="auto"/>
        <w:left w:val="none" w:sz="0" w:space="0" w:color="auto"/>
        <w:bottom w:val="none" w:sz="0" w:space="0" w:color="auto"/>
        <w:right w:val="none" w:sz="0" w:space="0" w:color="auto"/>
      </w:divBdr>
    </w:div>
    <w:div w:id="1184173518">
      <w:bodyDiv w:val="1"/>
      <w:marLeft w:val="0"/>
      <w:marRight w:val="0"/>
      <w:marTop w:val="0"/>
      <w:marBottom w:val="0"/>
      <w:divBdr>
        <w:top w:val="none" w:sz="0" w:space="0" w:color="auto"/>
        <w:left w:val="none" w:sz="0" w:space="0" w:color="auto"/>
        <w:bottom w:val="none" w:sz="0" w:space="0" w:color="auto"/>
        <w:right w:val="none" w:sz="0" w:space="0" w:color="auto"/>
      </w:divBdr>
    </w:div>
    <w:div w:id="1310793052">
      <w:bodyDiv w:val="1"/>
      <w:marLeft w:val="0"/>
      <w:marRight w:val="0"/>
      <w:marTop w:val="0"/>
      <w:marBottom w:val="0"/>
      <w:divBdr>
        <w:top w:val="none" w:sz="0" w:space="0" w:color="auto"/>
        <w:left w:val="none" w:sz="0" w:space="0" w:color="auto"/>
        <w:bottom w:val="none" w:sz="0" w:space="0" w:color="auto"/>
        <w:right w:val="none" w:sz="0" w:space="0" w:color="auto"/>
      </w:divBdr>
    </w:div>
    <w:div w:id="1413894400">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475633873">
      <w:bodyDiv w:val="1"/>
      <w:marLeft w:val="0"/>
      <w:marRight w:val="0"/>
      <w:marTop w:val="0"/>
      <w:marBottom w:val="0"/>
      <w:divBdr>
        <w:top w:val="none" w:sz="0" w:space="0" w:color="auto"/>
        <w:left w:val="none" w:sz="0" w:space="0" w:color="auto"/>
        <w:bottom w:val="none" w:sz="0" w:space="0" w:color="auto"/>
        <w:right w:val="none" w:sz="0" w:space="0" w:color="auto"/>
      </w:divBdr>
    </w:div>
    <w:div w:id="1554731718">
      <w:bodyDiv w:val="1"/>
      <w:marLeft w:val="0"/>
      <w:marRight w:val="0"/>
      <w:marTop w:val="0"/>
      <w:marBottom w:val="0"/>
      <w:divBdr>
        <w:top w:val="none" w:sz="0" w:space="0" w:color="auto"/>
        <w:left w:val="none" w:sz="0" w:space="0" w:color="auto"/>
        <w:bottom w:val="none" w:sz="0" w:space="0" w:color="auto"/>
        <w:right w:val="none" w:sz="0" w:space="0" w:color="auto"/>
      </w:divBdr>
    </w:div>
    <w:div w:id="1558935389">
      <w:bodyDiv w:val="1"/>
      <w:marLeft w:val="0"/>
      <w:marRight w:val="0"/>
      <w:marTop w:val="0"/>
      <w:marBottom w:val="0"/>
      <w:divBdr>
        <w:top w:val="none" w:sz="0" w:space="0" w:color="auto"/>
        <w:left w:val="none" w:sz="0" w:space="0" w:color="auto"/>
        <w:bottom w:val="none" w:sz="0" w:space="0" w:color="auto"/>
        <w:right w:val="none" w:sz="0" w:space="0" w:color="auto"/>
      </w:divBdr>
    </w:div>
    <w:div w:id="1643735889">
      <w:bodyDiv w:val="1"/>
      <w:marLeft w:val="0"/>
      <w:marRight w:val="0"/>
      <w:marTop w:val="0"/>
      <w:marBottom w:val="0"/>
      <w:divBdr>
        <w:top w:val="none" w:sz="0" w:space="0" w:color="auto"/>
        <w:left w:val="none" w:sz="0" w:space="0" w:color="auto"/>
        <w:bottom w:val="none" w:sz="0" w:space="0" w:color="auto"/>
        <w:right w:val="none" w:sz="0" w:space="0" w:color="auto"/>
      </w:divBdr>
    </w:div>
    <w:div w:id="1643777694">
      <w:bodyDiv w:val="1"/>
      <w:marLeft w:val="0"/>
      <w:marRight w:val="0"/>
      <w:marTop w:val="0"/>
      <w:marBottom w:val="0"/>
      <w:divBdr>
        <w:top w:val="none" w:sz="0" w:space="0" w:color="auto"/>
        <w:left w:val="none" w:sz="0" w:space="0" w:color="auto"/>
        <w:bottom w:val="none" w:sz="0" w:space="0" w:color="auto"/>
        <w:right w:val="none" w:sz="0" w:space="0" w:color="auto"/>
      </w:divBdr>
    </w:div>
    <w:div w:id="1765999859">
      <w:bodyDiv w:val="1"/>
      <w:marLeft w:val="0"/>
      <w:marRight w:val="0"/>
      <w:marTop w:val="0"/>
      <w:marBottom w:val="0"/>
      <w:divBdr>
        <w:top w:val="none" w:sz="0" w:space="0" w:color="auto"/>
        <w:left w:val="none" w:sz="0" w:space="0" w:color="auto"/>
        <w:bottom w:val="none" w:sz="0" w:space="0" w:color="auto"/>
        <w:right w:val="none" w:sz="0" w:space="0" w:color="auto"/>
      </w:divBdr>
    </w:div>
    <w:div w:id="188737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C225A-DCA2-4BEC-92DF-2B30F660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 Zoya</dc:creator>
  <cp:lastModifiedBy>Simzer, Terry</cp:lastModifiedBy>
  <cp:revision>2</cp:revision>
  <cp:lastPrinted>2019-05-23T16:38:00Z</cp:lastPrinted>
  <dcterms:created xsi:type="dcterms:W3CDTF">2019-05-23T16:39:00Z</dcterms:created>
  <dcterms:modified xsi:type="dcterms:W3CDTF">2019-05-23T16:39:00Z</dcterms:modified>
</cp:coreProperties>
</file>