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Default="00181CB3" w:rsidP="00181CB3">
      <w:pPr>
        <w:jc w:val="center"/>
        <w:rPr>
          <w:b/>
        </w:rPr>
      </w:pPr>
      <w:r>
        <w:rPr>
          <w:b/>
          <w:sz w:val="28"/>
        </w:rPr>
        <w:t>Special Education Advisory Committee (SEAC)</w:t>
      </w:r>
    </w:p>
    <w:p w:rsidR="00181CB3" w:rsidRPr="00011CB7" w:rsidRDefault="00181CB3" w:rsidP="00011CB7">
      <w:pPr>
        <w:pStyle w:val="Heading2"/>
        <w:jc w:val="center"/>
      </w:pPr>
      <w:r w:rsidRPr="00011CB7">
        <w:t xml:space="preserve">MINUTES for Monday, </w:t>
      </w:r>
      <w:r w:rsidR="00003692">
        <w:t>March 7</w:t>
      </w:r>
      <w:r w:rsidRPr="00011CB7">
        <w:t>, 2016</w:t>
      </w:r>
      <w:r w:rsidR="00D42BEF">
        <w:t xml:space="preserve"> </w:t>
      </w:r>
      <w:r w:rsidR="00D42BEF" w:rsidRPr="00D42BEF">
        <w:rPr>
          <w:color w:val="FF0000"/>
        </w:rPr>
        <w:t>DRAFT</w:t>
      </w:r>
    </w:p>
    <w:p w:rsidR="00181CB3" w:rsidRDefault="00181CB3" w:rsidP="00011CB7">
      <w:pPr>
        <w:pStyle w:val="Heading3"/>
        <w:spacing w:after="120"/>
      </w:pPr>
      <w:r>
        <w:t>SEAC –</w:t>
      </w:r>
      <w:r>
        <w:tab/>
        <w:t>Representatives and (Alternates):</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Association for Bright Children </w:t>
      </w:r>
      <w:r w:rsidRPr="00725824">
        <w:rPr>
          <w:rFonts w:cs="Arial"/>
          <w:sz w:val="20"/>
          <w:szCs w:val="20"/>
        </w:rPr>
        <w:tab/>
        <w:t xml:space="preserve">Diana Avon  </w:t>
      </w:r>
      <w:r w:rsidRPr="00725824">
        <w:rPr>
          <w:rFonts w:cs="Arial"/>
          <w:sz w:val="20"/>
          <w:szCs w:val="20"/>
        </w:rPr>
        <w:tab/>
        <w:t xml:space="preserve">(Catherine </w:t>
      </w:r>
      <w:proofErr w:type="spellStart"/>
      <w:r w:rsidRPr="00725824">
        <w:rPr>
          <w:rFonts w:cs="Arial"/>
          <w:sz w:val="20"/>
          <w:szCs w:val="20"/>
        </w:rPr>
        <w:t>Drillis</w:t>
      </w:r>
      <w:proofErr w:type="spellEnd"/>
      <w:r w:rsidRPr="00725824">
        <w:rPr>
          <w:rFonts w:cs="Arial"/>
          <w:sz w:val="20"/>
          <w:szCs w:val="20"/>
        </w:rPr>
        <w:t>)</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Autism Society of Ontario – Toronto</w:t>
      </w:r>
      <w:r w:rsidRPr="00725824">
        <w:rPr>
          <w:rFonts w:cs="Arial"/>
          <w:sz w:val="20"/>
          <w:szCs w:val="20"/>
        </w:rPr>
        <w:tab/>
        <w:t xml:space="preserve">Lisa </w:t>
      </w:r>
      <w:proofErr w:type="spellStart"/>
      <w:r w:rsidRPr="00725824">
        <w:rPr>
          <w:rFonts w:cs="Arial"/>
          <w:sz w:val="20"/>
          <w:szCs w:val="20"/>
        </w:rPr>
        <w:t>Kness</w:t>
      </w:r>
      <w:proofErr w:type="spellEnd"/>
      <w:r w:rsidRPr="00725824">
        <w:rPr>
          <w:rFonts w:cs="Arial"/>
          <w:sz w:val="20"/>
          <w:szCs w:val="20"/>
        </w:rPr>
        <w:t xml:space="preserve">    </w:t>
      </w:r>
      <w:r w:rsidRPr="00725824">
        <w:rPr>
          <w:rFonts w:cs="Arial"/>
          <w:sz w:val="20"/>
          <w:szCs w:val="20"/>
        </w:rPr>
        <w:tab/>
        <w:t>(Ginny Pearce)</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Brain Injury Society of Toronto</w:t>
      </w:r>
      <w:r w:rsidRPr="00725824">
        <w:rPr>
          <w:rFonts w:cs="Arial"/>
          <w:sz w:val="20"/>
          <w:szCs w:val="20"/>
        </w:rPr>
        <w:tab/>
        <w:t xml:space="preserve">Cynthia </w:t>
      </w:r>
      <w:proofErr w:type="spellStart"/>
      <w:r w:rsidRPr="00725824">
        <w:rPr>
          <w:rFonts w:cs="Arial"/>
          <w:sz w:val="20"/>
          <w:szCs w:val="20"/>
        </w:rPr>
        <w:t>Sprigings</w:t>
      </w:r>
      <w:proofErr w:type="spellEnd"/>
      <w:r w:rsidRPr="00725824">
        <w:rPr>
          <w:rFonts w:cs="Arial"/>
          <w:sz w:val="20"/>
          <w:szCs w:val="20"/>
        </w:rPr>
        <w:t xml:space="preserve">    </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Community Living Toronto</w:t>
      </w:r>
      <w:r w:rsidRPr="00725824">
        <w:rPr>
          <w:rFonts w:cs="Arial"/>
          <w:sz w:val="20"/>
          <w:szCs w:val="20"/>
        </w:rPr>
        <w:tab/>
        <w:t xml:space="preserve">Clovis Grant  </w:t>
      </w:r>
      <w:r w:rsidRPr="00725824">
        <w:rPr>
          <w:rFonts w:cs="Arial"/>
          <w:sz w:val="20"/>
          <w:szCs w:val="20"/>
        </w:rPr>
        <w:tab/>
        <w:t>(Margarita Isakov)</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Down </w:t>
      </w:r>
      <w:proofErr w:type="gramStart"/>
      <w:r w:rsidRPr="00725824">
        <w:rPr>
          <w:rFonts w:cs="Arial"/>
          <w:sz w:val="20"/>
          <w:szCs w:val="20"/>
        </w:rPr>
        <w:t>Syndrome</w:t>
      </w:r>
      <w:proofErr w:type="gramEnd"/>
      <w:r w:rsidRPr="00725824">
        <w:rPr>
          <w:rFonts w:cs="Arial"/>
          <w:sz w:val="20"/>
          <w:szCs w:val="20"/>
        </w:rPr>
        <w:t xml:space="preserve"> Association of Toronto</w:t>
      </w:r>
      <w:r w:rsidRPr="00725824">
        <w:rPr>
          <w:rFonts w:cs="Arial"/>
          <w:sz w:val="20"/>
          <w:szCs w:val="20"/>
        </w:rPr>
        <w:tab/>
        <w:t>Richard Carter</w:t>
      </w:r>
      <w:r w:rsidRPr="00725824">
        <w:rPr>
          <w:rFonts w:cs="Arial"/>
          <w:sz w:val="20"/>
          <w:szCs w:val="20"/>
        </w:rPr>
        <w:tab/>
        <w:t>(Elaine Dodsworth-Lever)</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Easter Seals Ontario</w:t>
      </w:r>
      <w:r w:rsidRPr="00725824">
        <w:rPr>
          <w:rFonts w:cs="Arial"/>
          <w:sz w:val="20"/>
          <w:szCs w:val="20"/>
        </w:rPr>
        <w:tab/>
        <w:t xml:space="preserve">Deborah Fletcher </w:t>
      </w:r>
      <w:r w:rsidRPr="00725824">
        <w:rPr>
          <w:rFonts w:cs="Arial"/>
          <w:sz w:val="20"/>
          <w:szCs w:val="20"/>
        </w:rPr>
        <w:tab/>
        <w:t>(</w:t>
      </w:r>
      <w:proofErr w:type="spellStart"/>
      <w:r w:rsidRPr="00725824">
        <w:rPr>
          <w:rFonts w:cs="Arial"/>
          <w:sz w:val="20"/>
          <w:szCs w:val="20"/>
        </w:rPr>
        <w:t>Adebukola</w:t>
      </w:r>
      <w:proofErr w:type="spellEnd"/>
      <w:r w:rsidRPr="00725824">
        <w:rPr>
          <w:rFonts w:cs="Arial"/>
          <w:sz w:val="20"/>
          <w:szCs w:val="20"/>
        </w:rPr>
        <w:t xml:space="preserve"> </w:t>
      </w:r>
      <w:proofErr w:type="spellStart"/>
      <w:r w:rsidRPr="00725824">
        <w:rPr>
          <w:rFonts w:cs="Arial"/>
          <w:sz w:val="20"/>
          <w:szCs w:val="20"/>
        </w:rPr>
        <w:t>Adenowo-Akpan</w:t>
      </w:r>
      <w:proofErr w:type="spellEnd"/>
      <w:r w:rsidRPr="00725824">
        <w:rPr>
          <w:rFonts w:cs="Arial"/>
          <w:sz w:val="20"/>
          <w:szCs w:val="20"/>
        </w:rPr>
        <w:t>)</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Epilepsy Toronto</w:t>
      </w:r>
      <w:r w:rsidRPr="00725824">
        <w:rPr>
          <w:rFonts w:cs="Arial"/>
          <w:sz w:val="20"/>
          <w:szCs w:val="20"/>
        </w:rPr>
        <w:tab/>
        <w:t>Steven Lynette</w:t>
      </w:r>
      <w:r w:rsidRPr="00725824">
        <w:rPr>
          <w:rFonts w:cs="Arial"/>
          <w:sz w:val="20"/>
          <w:szCs w:val="20"/>
        </w:rPr>
        <w:tab/>
        <w:t>(Sheelagh Hysenaj)</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Learning Disabilities Association Toronto</w:t>
      </w:r>
      <w:r w:rsidRPr="00725824">
        <w:rPr>
          <w:rFonts w:cs="Arial"/>
          <w:sz w:val="20"/>
          <w:szCs w:val="20"/>
        </w:rPr>
        <w:tab/>
        <w:t xml:space="preserve">Mark </w:t>
      </w:r>
      <w:proofErr w:type="spellStart"/>
      <w:r w:rsidRPr="00725824">
        <w:rPr>
          <w:rFonts w:cs="Arial"/>
          <w:sz w:val="20"/>
          <w:szCs w:val="20"/>
        </w:rPr>
        <w:t>Kovats</w:t>
      </w:r>
      <w:proofErr w:type="spellEnd"/>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VIEWS for the Visually Impaired</w:t>
      </w:r>
      <w:r w:rsidRPr="00725824">
        <w:rPr>
          <w:rFonts w:cs="Arial"/>
          <w:sz w:val="20"/>
          <w:szCs w:val="20"/>
        </w:rPr>
        <w:tab/>
        <w:t>David Lepofsky</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VOICE for Hearing Impaired Children</w:t>
      </w:r>
      <w:r w:rsidRPr="00725824">
        <w:rPr>
          <w:rFonts w:cs="Arial"/>
          <w:sz w:val="20"/>
          <w:szCs w:val="20"/>
        </w:rPr>
        <w:tab/>
        <w:t>Paul Cross</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TDSB North East Community </w:t>
      </w:r>
      <w:r w:rsidRPr="00725824">
        <w:rPr>
          <w:rFonts w:cs="Arial"/>
          <w:sz w:val="20"/>
          <w:szCs w:val="20"/>
        </w:rPr>
        <w:tab/>
        <w:t>Aline Chan</w:t>
      </w:r>
      <w:r w:rsidRPr="00725824">
        <w:rPr>
          <w:rFonts w:cs="Arial"/>
          <w:sz w:val="20"/>
          <w:szCs w:val="20"/>
        </w:rPr>
        <w:tab/>
        <w:t>Jean-Paul Ngana</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TDSB North West Community </w:t>
      </w:r>
      <w:r w:rsidRPr="00725824">
        <w:rPr>
          <w:rFonts w:cs="Arial"/>
          <w:sz w:val="20"/>
          <w:szCs w:val="20"/>
        </w:rPr>
        <w:tab/>
        <w:t>Phillip Sargent</w:t>
      </w:r>
      <w:r w:rsidRPr="00725824">
        <w:rPr>
          <w:rFonts w:cs="Arial"/>
          <w:sz w:val="20"/>
          <w:szCs w:val="20"/>
        </w:rPr>
        <w:tab/>
        <w:t>Jordan Glass</w:t>
      </w:r>
      <w:r w:rsidRPr="00725824">
        <w:rPr>
          <w:rFonts w:cs="Arial"/>
          <w:sz w:val="20"/>
          <w:szCs w:val="20"/>
        </w:rPr>
        <w:tab/>
      </w:r>
    </w:p>
    <w:p w:rsidR="00181CB3" w:rsidRPr="00725824" w:rsidRDefault="00181CB3" w:rsidP="00725824">
      <w:pPr>
        <w:tabs>
          <w:tab w:val="left" w:pos="4320"/>
          <w:tab w:val="left" w:pos="6120"/>
          <w:tab w:val="left" w:pos="8100"/>
        </w:tabs>
        <w:spacing w:before="0" w:after="0"/>
        <w:jc w:val="both"/>
        <w:rPr>
          <w:rFonts w:cs="Arial"/>
          <w:sz w:val="20"/>
          <w:szCs w:val="20"/>
        </w:rPr>
      </w:pPr>
      <w:r w:rsidRPr="00725824">
        <w:rPr>
          <w:rFonts w:cs="Arial"/>
          <w:sz w:val="20"/>
          <w:szCs w:val="20"/>
        </w:rPr>
        <w:t xml:space="preserve">TDSB South East Community  </w:t>
      </w:r>
      <w:r w:rsidRPr="00725824">
        <w:rPr>
          <w:rFonts w:cs="Arial"/>
          <w:sz w:val="20"/>
          <w:szCs w:val="20"/>
        </w:rPr>
        <w:tab/>
        <w:t>Ol</w:t>
      </w:r>
      <w:r w:rsidR="00725824" w:rsidRPr="00725824">
        <w:rPr>
          <w:rFonts w:cs="Arial"/>
          <w:sz w:val="20"/>
          <w:szCs w:val="20"/>
        </w:rPr>
        <w:t>ga Ingrahm</w:t>
      </w:r>
      <w:r w:rsidR="00725824" w:rsidRPr="00725824">
        <w:rPr>
          <w:rFonts w:cs="Arial"/>
          <w:sz w:val="20"/>
          <w:szCs w:val="20"/>
        </w:rPr>
        <w:tab/>
        <w:t xml:space="preserve">Diane Montgomery  </w:t>
      </w:r>
      <w:r w:rsidR="00725824">
        <w:rPr>
          <w:rFonts w:cs="Arial"/>
          <w:sz w:val="20"/>
          <w:szCs w:val="20"/>
        </w:rPr>
        <w:t xml:space="preserve">  </w:t>
      </w:r>
      <w:r w:rsidRPr="00725824">
        <w:rPr>
          <w:rFonts w:cs="Arial"/>
          <w:sz w:val="20"/>
          <w:szCs w:val="20"/>
        </w:rPr>
        <w:t>(Dick Winters)</w:t>
      </w:r>
      <w:r w:rsidRPr="00725824">
        <w:rPr>
          <w:rFonts w:cs="Arial"/>
          <w:sz w:val="20"/>
          <w:szCs w:val="20"/>
        </w:rPr>
        <w:tab/>
      </w:r>
    </w:p>
    <w:p w:rsidR="00181CB3" w:rsidRPr="00725824" w:rsidRDefault="00181CB3" w:rsidP="00725824">
      <w:pPr>
        <w:tabs>
          <w:tab w:val="left" w:pos="4320"/>
          <w:tab w:val="left" w:pos="6120"/>
          <w:tab w:val="left" w:pos="8100"/>
        </w:tabs>
        <w:spacing w:before="0" w:after="0"/>
        <w:jc w:val="both"/>
        <w:rPr>
          <w:rFonts w:cs="Arial"/>
          <w:sz w:val="20"/>
          <w:szCs w:val="20"/>
        </w:rPr>
      </w:pPr>
      <w:r w:rsidRPr="00725824">
        <w:rPr>
          <w:rFonts w:cs="Arial"/>
          <w:sz w:val="20"/>
          <w:szCs w:val="20"/>
        </w:rPr>
        <w:t xml:space="preserve">TDSB South West Community </w:t>
      </w:r>
      <w:r w:rsidRPr="00725824">
        <w:rPr>
          <w:rFonts w:cs="Arial"/>
          <w:sz w:val="20"/>
          <w:szCs w:val="20"/>
        </w:rPr>
        <w:tab/>
        <w:t>Nora Green</w:t>
      </w:r>
      <w:r w:rsidRPr="00725824">
        <w:rPr>
          <w:rFonts w:cs="Arial"/>
          <w:sz w:val="20"/>
          <w:szCs w:val="20"/>
        </w:rPr>
        <w:tab/>
        <w:t>Paula Boutis</w:t>
      </w:r>
      <w:r w:rsidRPr="00725824">
        <w:rPr>
          <w:rFonts w:cs="Arial"/>
          <w:sz w:val="20"/>
          <w:szCs w:val="20"/>
        </w:rPr>
        <w:tab/>
        <w:t>(Ken Stein)</w:t>
      </w:r>
      <w:r w:rsidRPr="00725824">
        <w:rPr>
          <w:rFonts w:cs="Arial"/>
          <w:sz w:val="20"/>
          <w:szCs w:val="20"/>
        </w:rPr>
        <w:tab/>
      </w:r>
    </w:p>
    <w:p w:rsidR="00181CB3" w:rsidRPr="00725824" w:rsidRDefault="00181CB3" w:rsidP="00725824">
      <w:pPr>
        <w:tabs>
          <w:tab w:val="left" w:pos="4320"/>
          <w:tab w:val="left" w:pos="6120"/>
          <w:tab w:val="left" w:pos="8100"/>
        </w:tabs>
        <w:spacing w:before="0" w:after="0"/>
        <w:ind w:right="-360"/>
        <w:jc w:val="both"/>
        <w:rPr>
          <w:rFonts w:cs="Arial"/>
          <w:sz w:val="20"/>
          <w:szCs w:val="20"/>
        </w:rPr>
      </w:pPr>
      <w:r w:rsidRPr="00725824">
        <w:rPr>
          <w:rFonts w:cs="Arial"/>
          <w:sz w:val="20"/>
          <w:szCs w:val="20"/>
        </w:rPr>
        <w:t>TDSB Trustees</w:t>
      </w:r>
      <w:r w:rsidRPr="00725824">
        <w:rPr>
          <w:rFonts w:cs="Arial"/>
          <w:sz w:val="20"/>
          <w:szCs w:val="20"/>
        </w:rPr>
        <w:tab/>
        <w:t xml:space="preserve">Pamela Gough </w:t>
      </w:r>
      <w:r w:rsidRPr="00725824">
        <w:rPr>
          <w:rFonts w:cs="Arial"/>
          <w:sz w:val="20"/>
          <w:szCs w:val="20"/>
        </w:rPr>
        <w:tab/>
        <w:t xml:space="preserve">Alexander Brown  </w:t>
      </w:r>
      <w:r w:rsidRPr="00725824">
        <w:rPr>
          <w:rFonts w:cs="Arial"/>
          <w:sz w:val="20"/>
          <w:szCs w:val="20"/>
        </w:rPr>
        <w:tab/>
        <w:t>Howard Kaplan</w:t>
      </w:r>
      <w:r w:rsidRPr="00725824">
        <w:rPr>
          <w:rFonts w:cs="Arial"/>
          <w:sz w:val="20"/>
          <w:szCs w:val="20"/>
        </w:rPr>
        <w:tab/>
        <w:t xml:space="preserve"> </w:t>
      </w:r>
    </w:p>
    <w:p w:rsidR="00181CB3" w:rsidRPr="00725824" w:rsidRDefault="00181CB3" w:rsidP="00C24330">
      <w:pPr>
        <w:tabs>
          <w:tab w:val="left" w:pos="4320"/>
          <w:tab w:val="left" w:pos="6120"/>
          <w:tab w:val="left" w:pos="8100"/>
        </w:tabs>
        <w:ind w:left="1440" w:right="-360" w:hanging="1440"/>
        <w:jc w:val="both"/>
        <w:rPr>
          <w:rFonts w:cs="Arial"/>
          <w:sz w:val="20"/>
          <w:szCs w:val="20"/>
        </w:rPr>
      </w:pPr>
      <w:r w:rsidRPr="00725824">
        <w:rPr>
          <w:rStyle w:val="Heading3Char"/>
          <w:rFonts w:ascii="Arial" w:hAnsi="Arial" w:cs="Arial"/>
          <w:sz w:val="20"/>
          <w:szCs w:val="20"/>
        </w:rPr>
        <w:t>Regrets:</w:t>
      </w:r>
      <w:r w:rsidRPr="00725824">
        <w:rPr>
          <w:rFonts w:cs="Arial"/>
          <w:sz w:val="20"/>
          <w:szCs w:val="20"/>
        </w:rPr>
        <w:t xml:space="preserve"> </w:t>
      </w:r>
      <w:r w:rsidR="00725824" w:rsidRPr="00725824">
        <w:rPr>
          <w:rFonts w:cs="Arial"/>
          <w:sz w:val="20"/>
          <w:szCs w:val="20"/>
        </w:rPr>
        <w:t xml:space="preserve"> </w:t>
      </w:r>
      <w:r w:rsidR="00C24330">
        <w:rPr>
          <w:rFonts w:cs="Arial"/>
          <w:sz w:val="20"/>
          <w:szCs w:val="20"/>
        </w:rPr>
        <w:tab/>
      </w:r>
      <w:r w:rsidR="00011CB7" w:rsidRPr="00725824">
        <w:rPr>
          <w:rFonts w:cs="Arial"/>
          <w:sz w:val="20"/>
          <w:szCs w:val="20"/>
        </w:rPr>
        <w:t xml:space="preserve">Clovis Grant, </w:t>
      </w:r>
      <w:r w:rsidR="005D4F6B">
        <w:rPr>
          <w:rFonts w:cs="Arial"/>
          <w:sz w:val="20"/>
          <w:szCs w:val="20"/>
        </w:rPr>
        <w:t xml:space="preserve">Jordan Glass, Pamela Gough, Howard Kaplan, </w:t>
      </w:r>
      <w:r w:rsidR="00DC4ACC">
        <w:rPr>
          <w:rFonts w:cs="Arial"/>
          <w:sz w:val="20"/>
          <w:szCs w:val="20"/>
        </w:rPr>
        <w:t xml:space="preserve">Mark </w:t>
      </w:r>
      <w:proofErr w:type="spellStart"/>
      <w:r w:rsidR="00DC4ACC">
        <w:rPr>
          <w:rFonts w:cs="Arial"/>
          <w:sz w:val="20"/>
          <w:szCs w:val="20"/>
        </w:rPr>
        <w:t>Kovats</w:t>
      </w:r>
      <w:proofErr w:type="spellEnd"/>
      <w:r w:rsidR="00DC4ACC">
        <w:rPr>
          <w:rFonts w:cs="Arial"/>
          <w:sz w:val="20"/>
          <w:szCs w:val="20"/>
        </w:rPr>
        <w:t xml:space="preserve">, </w:t>
      </w:r>
      <w:r w:rsidR="005D4F6B">
        <w:rPr>
          <w:rFonts w:cs="Arial"/>
          <w:sz w:val="20"/>
          <w:szCs w:val="20"/>
        </w:rPr>
        <w:t>Ken Stein</w:t>
      </w:r>
    </w:p>
    <w:p w:rsidR="00C24330" w:rsidRDefault="00181CB3" w:rsidP="00C24330">
      <w:pPr>
        <w:spacing w:before="0" w:after="0"/>
        <w:ind w:left="1440" w:hanging="1440"/>
        <w:jc w:val="both"/>
        <w:rPr>
          <w:rFonts w:cs="Arial"/>
          <w:sz w:val="20"/>
          <w:szCs w:val="20"/>
        </w:rPr>
      </w:pPr>
      <w:r w:rsidRPr="00725824">
        <w:rPr>
          <w:rStyle w:val="Heading3Char"/>
          <w:rFonts w:ascii="Arial" w:hAnsi="Arial" w:cs="Arial"/>
          <w:sz w:val="20"/>
          <w:szCs w:val="20"/>
        </w:rPr>
        <w:t>Staff Present:</w:t>
      </w:r>
      <w:r w:rsidRPr="00725824">
        <w:rPr>
          <w:rFonts w:cs="Arial"/>
          <w:sz w:val="20"/>
          <w:szCs w:val="20"/>
        </w:rPr>
        <w:t xml:space="preserve"> </w:t>
      </w:r>
      <w:r w:rsidR="00C24330">
        <w:rPr>
          <w:rFonts w:cs="Arial"/>
          <w:sz w:val="20"/>
          <w:szCs w:val="20"/>
        </w:rPr>
        <w:tab/>
        <w:t xml:space="preserve">Uton </w:t>
      </w:r>
      <w:r w:rsidRPr="00725824">
        <w:rPr>
          <w:rFonts w:cs="Arial"/>
          <w:sz w:val="20"/>
          <w:szCs w:val="20"/>
        </w:rPr>
        <w:t>Robinson,</w:t>
      </w:r>
      <w:r w:rsidR="00C24330" w:rsidRPr="00C24330">
        <w:rPr>
          <w:rFonts w:cs="Arial"/>
          <w:sz w:val="20"/>
          <w:szCs w:val="20"/>
        </w:rPr>
        <w:t xml:space="preserve"> </w:t>
      </w:r>
      <w:r w:rsidR="00C24330">
        <w:rPr>
          <w:rFonts w:cs="Arial"/>
          <w:sz w:val="20"/>
          <w:szCs w:val="20"/>
        </w:rPr>
        <w:t>Executive Superintendent, Special Education and Section Programs</w:t>
      </w:r>
    </w:p>
    <w:p w:rsidR="00C24330" w:rsidRDefault="00C24330" w:rsidP="00C24330">
      <w:pPr>
        <w:tabs>
          <w:tab w:val="left" w:pos="1440"/>
        </w:tabs>
        <w:spacing w:before="0" w:after="0"/>
        <w:ind w:left="1440" w:hanging="1440"/>
        <w:jc w:val="both"/>
        <w:rPr>
          <w:rFonts w:cs="Arial"/>
          <w:sz w:val="20"/>
          <w:szCs w:val="20"/>
        </w:rPr>
      </w:pPr>
      <w:r>
        <w:rPr>
          <w:rFonts w:cs="Arial"/>
          <w:sz w:val="20"/>
          <w:szCs w:val="20"/>
        </w:rPr>
        <w:tab/>
      </w:r>
      <w:r w:rsidR="00181CB3" w:rsidRPr="00725824">
        <w:rPr>
          <w:rFonts w:cs="Arial"/>
          <w:sz w:val="20"/>
          <w:szCs w:val="20"/>
        </w:rPr>
        <w:t>Ian Allison,</w:t>
      </w:r>
      <w:r>
        <w:rPr>
          <w:rFonts w:cs="Arial"/>
          <w:sz w:val="20"/>
          <w:szCs w:val="20"/>
        </w:rPr>
        <w:t xml:space="preserve"> Coordinating Superintendent, Special Education and Section Programs</w:t>
      </w:r>
    </w:p>
    <w:p w:rsidR="00181CB3" w:rsidRPr="00725824" w:rsidRDefault="00181CB3" w:rsidP="00003692">
      <w:pPr>
        <w:spacing w:before="0" w:after="0"/>
        <w:ind w:left="1440" w:hanging="1440"/>
        <w:jc w:val="both"/>
        <w:rPr>
          <w:rFonts w:cs="Arial"/>
          <w:sz w:val="20"/>
          <w:szCs w:val="20"/>
        </w:rPr>
      </w:pPr>
      <w:r w:rsidRPr="00725824">
        <w:rPr>
          <w:rFonts w:cs="Arial"/>
          <w:sz w:val="20"/>
          <w:szCs w:val="20"/>
        </w:rPr>
        <w:t xml:space="preserve"> </w:t>
      </w:r>
      <w:r w:rsidR="00C24330">
        <w:rPr>
          <w:rFonts w:cs="Arial"/>
          <w:sz w:val="20"/>
          <w:szCs w:val="20"/>
        </w:rPr>
        <w:tab/>
      </w:r>
      <w:r w:rsidR="005D4F6B">
        <w:rPr>
          <w:rFonts w:cs="Arial"/>
          <w:sz w:val="20"/>
          <w:szCs w:val="20"/>
        </w:rPr>
        <w:t xml:space="preserve">Angelos Bacopoulos, </w:t>
      </w:r>
      <w:r w:rsidR="00C24330">
        <w:rPr>
          <w:rFonts w:cs="Arial"/>
          <w:sz w:val="20"/>
          <w:szCs w:val="20"/>
        </w:rPr>
        <w:t xml:space="preserve">Associate Director of Education, </w:t>
      </w:r>
      <w:r w:rsidR="00003692">
        <w:rPr>
          <w:rFonts w:cs="Arial"/>
          <w:sz w:val="20"/>
          <w:szCs w:val="20"/>
        </w:rPr>
        <w:t>Facilities</w:t>
      </w:r>
      <w:r w:rsidR="005D4F6B">
        <w:rPr>
          <w:rFonts w:cs="Arial"/>
          <w:sz w:val="20"/>
          <w:szCs w:val="20"/>
        </w:rPr>
        <w:t xml:space="preserve"> and Urban Sustainability</w:t>
      </w:r>
    </w:p>
    <w:p w:rsidR="005D4F6B" w:rsidRPr="005D4F6B" w:rsidRDefault="005D4F6B" w:rsidP="005D4F6B">
      <w:pPr>
        <w:spacing w:before="0" w:after="0"/>
        <w:ind w:left="1440" w:hanging="1440"/>
        <w:jc w:val="both"/>
        <w:rPr>
          <w:rStyle w:val="Heading3Char"/>
          <w:rFonts w:ascii="Arial" w:hAnsi="Arial" w:cs="Arial"/>
          <w:b w:val="0"/>
          <w:sz w:val="20"/>
          <w:szCs w:val="20"/>
        </w:rPr>
      </w:pPr>
      <w:r>
        <w:rPr>
          <w:rStyle w:val="Heading3Char"/>
          <w:rFonts w:ascii="Arial" w:hAnsi="Arial" w:cs="Arial"/>
          <w:sz w:val="20"/>
          <w:szCs w:val="20"/>
        </w:rPr>
        <w:tab/>
      </w:r>
      <w:r w:rsidRPr="005D4F6B">
        <w:rPr>
          <w:rStyle w:val="Heading3Char"/>
          <w:rFonts w:ascii="Arial" w:hAnsi="Arial" w:cs="Arial"/>
          <w:b w:val="0"/>
          <w:sz w:val="20"/>
          <w:szCs w:val="20"/>
        </w:rPr>
        <w:t>David Perceval, Senior Manager Building Design and Renewal</w:t>
      </w:r>
    </w:p>
    <w:p w:rsidR="00003692" w:rsidRPr="005D4F6B" w:rsidRDefault="005D4F6B" w:rsidP="005D4F6B">
      <w:pPr>
        <w:spacing w:before="0" w:after="0"/>
        <w:ind w:left="1152" w:firstLine="288"/>
        <w:jc w:val="both"/>
        <w:rPr>
          <w:rStyle w:val="Heading3Char"/>
          <w:rFonts w:ascii="Arial" w:hAnsi="Arial" w:cs="Arial"/>
          <w:b w:val="0"/>
          <w:sz w:val="20"/>
          <w:szCs w:val="20"/>
        </w:rPr>
      </w:pPr>
      <w:r w:rsidRPr="005D4F6B">
        <w:rPr>
          <w:rStyle w:val="Heading3Char"/>
          <w:rFonts w:ascii="Arial" w:hAnsi="Arial" w:cs="Arial"/>
          <w:b w:val="0"/>
          <w:sz w:val="20"/>
          <w:szCs w:val="20"/>
        </w:rPr>
        <w:t>Chris Broadbent, Manager, Occupational Health and Safety</w:t>
      </w:r>
    </w:p>
    <w:p w:rsidR="00D07629" w:rsidRDefault="00D07629" w:rsidP="00D07629">
      <w:pPr>
        <w:spacing w:after="0"/>
        <w:jc w:val="both"/>
        <w:rPr>
          <w:sz w:val="20"/>
          <w:szCs w:val="20"/>
        </w:rPr>
      </w:pPr>
      <w:r>
        <w:rPr>
          <w:rStyle w:val="Heading3Char"/>
          <w:rFonts w:ascii="Arial" w:hAnsi="Arial" w:cs="Arial"/>
          <w:sz w:val="20"/>
          <w:szCs w:val="20"/>
        </w:rPr>
        <w:t>Guests:</w:t>
      </w:r>
      <w:r w:rsidRPr="00D07629">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sidRPr="00D07629">
        <w:rPr>
          <w:sz w:val="20"/>
          <w:szCs w:val="20"/>
        </w:rPr>
        <w:t>Luke Reid, ARCH Disability Law Centre</w:t>
      </w:r>
    </w:p>
    <w:p w:rsidR="00D07629" w:rsidRPr="00D07629" w:rsidRDefault="00D07629" w:rsidP="00D07629">
      <w:pPr>
        <w:spacing w:before="0"/>
        <w:ind w:left="1296" w:firstLine="144"/>
        <w:jc w:val="both"/>
        <w:rPr>
          <w:rStyle w:val="Heading3Char"/>
          <w:rFonts w:ascii="Arial" w:eastAsia="Calibri" w:hAnsi="Arial" w:cs="Times New Roman"/>
          <w:b w:val="0"/>
          <w:bCs w:val="0"/>
          <w:sz w:val="20"/>
          <w:szCs w:val="20"/>
        </w:rPr>
      </w:pPr>
      <w:r>
        <w:rPr>
          <w:sz w:val="20"/>
          <w:szCs w:val="20"/>
        </w:rPr>
        <w:t xml:space="preserve">Consuelo Rubio, </w:t>
      </w:r>
      <w:r w:rsidRPr="00D07629">
        <w:rPr>
          <w:sz w:val="20"/>
          <w:szCs w:val="20"/>
        </w:rPr>
        <w:t>Human Rights Legal Support Centre</w:t>
      </w:r>
    </w:p>
    <w:p w:rsidR="00181CB3" w:rsidRPr="00725824" w:rsidRDefault="00181CB3" w:rsidP="005D4F6B">
      <w:pPr>
        <w:spacing w:before="0" w:after="360"/>
        <w:jc w:val="both"/>
        <w:rPr>
          <w:rFonts w:cs="Arial"/>
          <w:sz w:val="20"/>
          <w:szCs w:val="20"/>
        </w:rPr>
      </w:pPr>
      <w:r w:rsidRPr="00725824">
        <w:rPr>
          <w:rStyle w:val="Heading3Char"/>
          <w:rFonts w:ascii="Arial" w:hAnsi="Arial" w:cs="Arial"/>
          <w:sz w:val="20"/>
          <w:szCs w:val="20"/>
        </w:rPr>
        <w:t>Recorder:</w:t>
      </w:r>
      <w:r w:rsidRPr="00725824">
        <w:rPr>
          <w:rFonts w:cs="Arial"/>
          <w:sz w:val="20"/>
          <w:szCs w:val="20"/>
        </w:rPr>
        <w:t xml:space="preserve"> </w:t>
      </w:r>
      <w:r w:rsidR="00C24330">
        <w:rPr>
          <w:rFonts w:cs="Arial"/>
          <w:sz w:val="20"/>
          <w:szCs w:val="20"/>
        </w:rPr>
        <w:tab/>
      </w:r>
      <w:r w:rsidR="005D4F6B">
        <w:rPr>
          <w:rFonts w:cs="Arial"/>
          <w:sz w:val="20"/>
          <w:szCs w:val="20"/>
        </w:rPr>
        <w:tab/>
      </w:r>
      <w:r w:rsidR="005D4F6B">
        <w:rPr>
          <w:rFonts w:cs="Arial"/>
          <w:sz w:val="20"/>
          <w:szCs w:val="20"/>
        </w:rPr>
        <w:tab/>
      </w:r>
      <w:r w:rsidR="005D4F6B">
        <w:rPr>
          <w:rFonts w:cs="Arial"/>
          <w:sz w:val="20"/>
          <w:szCs w:val="20"/>
        </w:rPr>
        <w:tab/>
      </w:r>
      <w:r w:rsidRPr="00725824">
        <w:rPr>
          <w:rFonts w:cs="Arial"/>
          <w:sz w:val="20"/>
          <w:szCs w:val="20"/>
        </w:rPr>
        <w:t>Margo Ratsep</w:t>
      </w:r>
      <w:r w:rsidR="00C24330">
        <w:rPr>
          <w:rFonts w:cs="Arial"/>
          <w:sz w:val="20"/>
          <w:szCs w:val="20"/>
        </w:rPr>
        <w:t>, SEAC Liaison</w:t>
      </w:r>
    </w:p>
    <w:p w:rsidR="005D4F6B" w:rsidRDefault="00EE3A6B" w:rsidP="006330FB">
      <w:pPr>
        <w:pStyle w:val="Heading2"/>
        <w:numPr>
          <w:ilvl w:val="0"/>
          <w:numId w:val="11"/>
        </w:numPr>
        <w:spacing w:after="120"/>
        <w:ind w:left="360"/>
      </w:pPr>
      <w:r>
        <w:t xml:space="preserve">Call to Order </w:t>
      </w:r>
    </w:p>
    <w:p w:rsidR="005D4F6B" w:rsidRPr="009A3281" w:rsidRDefault="005D4F6B" w:rsidP="009A3281">
      <w:pPr>
        <w:pStyle w:val="Heading2"/>
        <w:spacing w:after="120"/>
        <w:ind w:left="360"/>
        <w:rPr>
          <w:b w:val="0"/>
          <w:sz w:val="22"/>
          <w:szCs w:val="22"/>
        </w:rPr>
      </w:pPr>
      <w:r w:rsidRPr="009A3281">
        <w:rPr>
          <w:b w:val="0"/>
          <w:sz w:val="22"/>
          <w:szCs w:val="22"/>
        </w:rPr>
        <w:t>Chair David Lepofsky called the meeting to order at 7:02</w:t>
      </w:r>
      <w:r w:rsidR="009A3281" w:rsidRPr="009A3281">
        <w:rPr>
          <w:b w:val="0"/>
          <w:sz w:val="22"/>
          <w:szCs w:val="22"/>
        </w:rPr>
        <w:t xml:space="preserve"> p.m</w:t>
      </w:r>
      <w:r w:rsidRPr="009A3281">
        <w:rPr>
          <w:b w:val="0"/>
          <w:sz w:val="22"/>
          <w:szCs w:val="22"/>
        </w:rPr>
        <w:t xml:space="preserve">. </w:t>
      </w:r>
      <w:r w:rsidR="00EE3A6B" w:rsidRPr="009A3281">
        <w:rPr>
          <w:b w:val="0"/>
          <w:sz w:val="22"/>
          <w:szCs w:val="22"/>
        </w:rPr>
        <w:t xml:space="preserve"> </w:t>
      </w:r>
    </w:p>
    <w:p w:rsidR="00AC5B43" w:rsidRDefault="00AC5B43" w:rsidP="006330FB">
      <w:pPr>
        <w:pStyle w:val="Heading2"/>
        <w:numPr>
          <w:ilvl w:val="0"/>
          <w:numId w:val="11"/>
        </w:numPr>
        <w:spacing w:after="120"/>
        <w:ind w:left="360"/>
      </w:pPr>
      <w:r>
        <w:t>Declaration of Possible Conflicts of Interest</w:t>
      </w:r>
    </w:p>
    <w:p w:rsidR="005D77C3" w:rsidRPr="009A3281" w:rsidRDefault="005D77C3" w:rsidP="00DC4ACC">
      <w:pPr>
        <w:pStyle w:val="NoSpacing"/>
        <w:spacing w:after="120" w:line="276" w:lineRule="auto"/>
        <w:ind w:left="360"/>
      </w:pPr>
      <w:r w:rsidRPr="009A3281">
        <w:t xml:space="preserve">No conflicts of interest were noted.  </w:t>
      </w:r>
    </w:p>
    <w:p w:rsidR="00EE3A6B" w:rsidRDefault="00AC5B43" w:rsidP="006330FB">
      <w:pPr>
        <w:pStyle w:val="Heading2"/>
        <w:numPr>
          <w:ilvl w:val="0"/>
          <w:numId w:val="11"/>
        </w:numPr>
        <w:spacing w:after="120"/>
        <w:ind w:left="360"/>
      </w:pPr>
      <w:r>
        <w:t xml:space="preserve">Confirmation of Minutes </w:t>
      </w:r>
    </w:p>
    <w:p w:rsidR="005D4F6B" w:rsidRPr="009A3281" w:rsidRDefault="008A6467" w:rsidP="009A3281">
      <w:pPr>
        <w:pStyle w:val="NoSpacing"/>
        <w:spacing w:line="276" w:lineRule="auto"/>
        <w:ind w:left="360"/>
      </w:pPr>
      <w:r w:rsidRPr="009A3281">
        <w:t xml:space="preserve">On motion of </w:t>
      </w:r>
      <w:r w:rsidR="005D4F6B" w:rsidRPr="009A3281">
        <w:t xml:space="preserve">Lisa </w:t>
      </w:r>
      <w:proofErr w:type="spellStart"/>
      <w:r w:rsidR="005D4F6B" w:rsidRPr="009A3281">
        <w:t>Kness</w:t>
      </w:r>
      <w:proofErr w:type="spellEnd"/>
      <w:r w:rsidRPr="009A3281">
        <w:t xml:space="preserve">, </w:t>
      </w:r>
      <w:r w:rsidR="005D77C3" w:rsidRPr="009A3281">
        <w:t xml:space="preserve">the </w:t>
      </w:r>
      <w:r w:rsidRPr="009A3281">
        <w:t>Minutes</w:t>
      </w:r>
      <w:r w:rsidR="005D77C3" w:rsidRPr="009A3281">
        <w:t xml:space="preserve"> of the </w:t>
      </w:r>
      <w:r w:rsidR="005D4F6B" w:rsidRPr="009A3281">
        <w:t>February 1</w:t>
      </w:r>
      <w:r w:rsidR="005D77C3" w:rsidRPr="009A3281">
        <w:t xml:space="preserve">, 2016 SEAC meeting </w:t>
      </w:r>
      <w:r w:rsidRPr="009A3281">
        <w:t xml:space="preserve">were </w:t>
      </w:r>
      <w:r w:rsidR="00744DD4" w:rsidRPr="009A3281">
        <w:t>adopted</w:t>
      </w:r>
      <w:r w:rsidR="009A3281" w:rsidRPr="009A3281">
        <w:t>.</w:t>
      </w:r>
    </w:p>
    <w:p w:rsidR="005D4F6B" w:rsidRPr="00D07629" w:rsidRDefault="005D4F6B" w:rsidP="00D07629">
      <w:pPr>
        <w:pStyle w:val="ListParagraph"/>
        <w:ind w:left="360"/>
      </w:pPr>
      <w:r>
        <w:t>The Chair</w:t>
      </w:r>
      <w:r w:rsidR="009A3281">
        <w:t xml:space="preserve"> informed SEAC he would be tape-</w:t>
      </w:r>
      <w:r>
        <w:t>recording the meeting. No objections were raised. He invited SEAC</w:t>
      </w:r>
      <w:r w:rsidR="009A3281">
        <w:t xml:space="preserve"> members and staff to introduce </w:t>
      </w:r>
      <w:proofErr w:type="gramStart"/>
      <w:r>
        <w:t>themselves</w:t>
      </w:r>
      <w:proofErr w:type="gramEnd"/>
      <w:r w:rsidR="009A3281">
        <w:t xml:space="preserve"> to the gallery</w:t>
      </w:r>
      <w:r>
        <w:t xml:space="preserve">. He reviewed steps SEAC has taken to </w:t>
      </w:r>
      <w:r w:rsidR="009A3281">
        <w:t>address</w:t>
      </w:r>
      <w:r>
        <w:t xml:space="preserve"> its established priorities and outlined what would be covered at this meeting.</w:t>
      </w:r>
      <w:r w:rsidR="00F10DCC">
        <w:t xml:space="preserve"> </w:t>
      </w:r>
      <w:r>
        <w:t xml:space="preserve">He reported on his activities since the last meeting, </w:t>
      </w:r>
      <w:r w:rsidR="009A3281">
        <w:t>which has included</w:t>
      </w:r>
      <w:r>
        <w:t xml:space="preserve"> delegating on behalf of SEAC to </w:t>
      </w:r>
      <w:r w:rsidR="00090CA5">
        <w:t>three</w:t>
      </w:r>
      <w:r w:rsidR="009A3281">
        <w:t xml:space="preserve"> </w:t>
      </w:r>
      <w:r>
        <w:t xml:space="preserve">Board Committees and </w:t>
      </w:r>
      <w:r w:rsidR="009A3281">
        <w:t>submitting a</w:t>
      </w:r>
      <w:r w:rsidR="00F10DCC">
        <w:t xml:space="preserve"> </w:t>
      </w:r>
      <w:r w:rsidR="00F10DCC">
        <w:lastRenderedPageBreak/>
        <w:t>written request</w:t>
      </w:r>
      <w:r w:rsidR="009A3281">
        <w:t xml:space="preserve"> to the TDSB B</w:t>
      </w:r>
      <w:r w:rsidR="00F10DCC">
        <w:t>oard Chair</w:t>
      </w:r>
      <w:r w:rsidR="009A3281">
        <w:t xml:space="preserve"> Pilkey</w:t>
      </w:r>
      <w:r w:rsidR="00F10DCC">
        <w:t>,</w:t>
      </w:r>
      <w:r>
        <w:t xml:space="preserve"> to</w:t>
      </w:r>
      <w:r w:rsidR="00F10DCC">
        <w:t xml:space="preserve"> be permitted to</w:t>
      </w:r>
      <w:r>
        <w:t xml:space="preserve"> delegate </w:t>
      </w:r>
      <w:r w:rsidR="00F10DCC">
        <w:t>at the upcoming full board meeting.</w:t>
      </w:r>
      <w:r>
        <w:t xml:space="preserve"> </w:t>
      </w:r>
    </w:p>
    <w:p w:rsidR="00F10DCC" w:rsidRPr="00EC1CCA" w:rsidRDefault="00F10DCC" w:rsidP="00C8528D">
      <w:pPr>
        <w:pStyle w:val="Heading2"/>
        <w:numPr>
          <w:ilvl w:val="0"/>
          <w:numId w:val="11"/>
        </w:numPr>
        <w:ind w:left="360" w:right="-720"/>
      </w:pPr>
      <w:r w:rsidRPr="00EC1CCA">
        <w:t xml:space="preserve">Special Education Proposed 3 Million Dollar Budget Cut to Special Education </w:t>
      </w:r>
    </w:p>
    <w:p w:rsidR="00F10DCC" w:rsidRDefault="00F10DCC" w:rsidP="00090CA5">
      <w:pPr>
        <w:ind w:left="360"/>
      </w:pPr>
      <w:r>
        <w:t>Update</w:t>
      </w:r>
      <w:r w:rsidRPr="00C22366">
        <w:t xml:space="preserve"> from Executive Superintendent Uton Robinson </w:t>
      </w:r>
    </w:p>
    <w:p w:rsidR="00913DD8" w:rsidRDefault="00EC1CCA" w:rsidP="00900F08">
      <w:pPr>
        <w:spacing w:before="0"/>
        <w:ind w:left="360"/>
      </w:pPr>
      <w:r>
        <w:t>Executive Superintendent Robinson had provided an update to SEAC in advance of the meeting about the process being followed in staff allocation.</w:t>
      </w:r>
      <w:r w:rsidR="009A3281">
        <w:t xml:space="preserve"> (See Appendix A)</w:t>
      </w:r>
      <w:r w:rsidR="00F10DCC">
        <w:t xml:space="preserve"> In the last sentence</w:t>
      </w:r>
      <w:r>
        <w:t xml:space="preserve"> of that update, he</w:t>
      </w:r>
      <w:r w:rsidR="00F10DCC">
        <w:t xml:space="preserve"> reported that no school-based special education staff will be cut. </w:t>
      </w:r>
      <w:r>
        <w:t>He informed SEAC that the next step will be looking at central budget</w:t>
      </w:r>
      <w:r w:rsidR="009A3281">
        <w:t xml:space="preserve"> for cost savings, but</w:t>
      </w:r>
      <w:r w:rsidR="00F10DCC">
        <w:t xml:space="preserve"> </w:t>
      </w:r>
      <w:r>
        <w:t xml:space="preserve">that </w:t>
      </w:r>
      <w:r w:rsidR="00F10DCC">
        <w:t xml:space="preserve">it would be premature </w:t>
      </w:r>
      <w:r w:rsidR="00913DD8">
        <w:t xml:space="preserve">to comment </w:t>
      </w:r>
      <w:r w:rsidR="009A3281">
        <w:t xml:space="preserve">as to whether or not there will be reductions or </w:t>
      </w:r>
      <w:r w:rsidR="00913DD8">
        <w:t xml:space="preserve">on what may have to take place with central, since </w:t>
      </w:r>
      <w:r w:rsidR="009A3281">
        <w:t>discussion and planning</w:t>
      </w:r>
      <w:r w:rsidR="00913DD8">
        <w:t xml:space="preserve"> is</w:t>
      </w:r>
      <w:r w:rsidR="00913DD8" w:rsidRPr="00913DD8">
        <w:t xml:space="preserve"> </w:t>
      </w:r>
      <w:r w:rsidR="009A3281">
        <w:t>still in progr</w:t>
      </w:r>
      <w:r w:rsidR="00913DD8">
        <w:t>ess</w:t>
      </w:r>
      <w:r w:rsidR="009A3281">
        <w:t xml:space="preserve">. </w:t>
      </w:r>
    </w:p>
    <w:p w:rsidR="009F2C56" w:rsidRDefault="009F2C56" w:rsidP="009F2C56">
      <w:pPr>
        <w:ind w:left="360"/>
      </w:pPr>
      <w:r>
        <w:t>In response to questions, he clarified to SEAC that:</w:t>
      </w:r>
    </w:p>
    <w:p w:rsidR="009F2C56" w:rsidRDefault="009F2C56" w:rsidP="009F2C56">
      <w:pPr>
        <w:pStyle w:val="ListParagraph"/>
        <w:numPr>
          <w:ilvl w:val="0"/>
          <w:numId w:val="16"/>
        </w:numPr>
        <w:spacing w:before="0" w:after="200"/>
        <w:ind w:left="720" w:hanging="270"/>
      </w:pPr>
      <w:r>
        <w:t xml:space="preserve">Central staffing includes individuals who are within Teaching and Learning as well as Professional Support Services (Psychology, Social Work, Speech/Language Pathology, </w:t>
      </w:r>
      <w:proofErr w:type="gramStart"/>
      <w:r>
        <w:t>Occupational</w:t>
      </w:r>
      <w:proofErr w:type="gramEnd"/>
      <w:r>
        <w:t xml:space="preserve"> Therapy/Physiotherapy) staff.</w:t>
      </w:r>
    </w:p>
    <w:p w:rsidR="009F2C56" w:rsidRDefault="009F2C56" w:rsidP="009F2C56">
      <w:pPr>
        <w:pStyle w:val="ListParagraph"/>
        <w:numPr>
          <w:ilvl w:val="0"/>
          <w:numId w:val="16"/>
        </w:numPr>
        <w:spacing w:before="0" w:after="200"/>
        <w:ind w:left="720" w:hanging="270"/>
      </w:pPr>
      <w:r>
        <w:t>Discussions around the allocation of school-based, non-special education staff (e.g., lunchroom supervisors), fall under the mainstream budget, but there are no planned reductions to special education lunchroom supervisors in intensive support programs.</w:t>
      </w:r>
    </w:p>
    <w:p w:rsidR="009F2C56" w:rsidRDefault="009F2C56" w:rsidP="009F2C56">
      <w:pPr>
        <w:pStyle w:val="ListParagraph"/>
        <w:numPr>
          <w:ilvl w:val="0"/>
          <w:numId w:val="16"/>
        </w:numPr>
        <w:spacing w:before="0" w:after="240"/>
        <w:ind w:left="720" w:hanging="270"/>
      </w:pPr>
      <w:r>
        <w:t>Special Incidence Portion staff allocation is part of an additional Ministry process to address the complicated needs of certain students. The allocation is based on a file that is submitted to and reviewed by the Ministry. Resources are brought forward from the Ministry. The breakdown requires the board to pay 75% of the costs and the Ministry 25%.</w:t>
      </w:r>
    </w:p>
    <w:p w:rsidR="009F2C56" w:rsidRDefault="009F2C56" w:rsidP="009F2C56">
      <w:pPr>
        <w:pStyle w:val="ListParagraph"/>
        <w:numPr>
          <w:ilvl w:val="0"/>
          <w:numId w:val="16"/>
        </w:numPr>
        <w:spacing w:before="0"/>
        <w:ind w:left="720" w:hanging="270"/>
      </w:pPr>
      <w:r>
        <w:t>The Director is moving forward with guiding principles to put resources closer to the school, and this could include increases. (Trustee Brown commented on the process of this discussion and undertook to keep SEAC informed.)</w:t>
      </w:r>
    </w:p>
    <w:p w:rsidR="009F2C56" w:rsidRDefault="009F2C56" w:rsidP="00D07629">
      <w:pPr>
        <w:ind w:left="360"/>
      </w:pPr>
      <w:r>
        <w:t>SEAC members expressed their belief that it is important to have regular updates about Professional Support Services, since these services are integral to serving the needs of special education students. The board is required to consult on the special education budget. SEAC believes this requires consultation on any budget that impacts on special education students, no matter where they are serviced – in special education or mainstream classrooms.</w:t>
      </w:r>
    </w:p>
    <w:p w:rsidR="00274DF0" w:rsidRDefault="00274DF0" w:rsidP="00900F08">
      <w:pPr>
        <w:spacing w:before="0"/>
        <w:ind w:left="360"/>
      </w:pPr>
      <w:r>
        <w:t>SEAC input:</w:t>
      </w:r>
    </w:p>
    <w:p w:rsidR="00274DF0" w:rsidRDefault="00274DF0" w:rsidP="00900F08">
      <w:pPr>
        <w:spacing w:before="0" w:after="240"/>
        <w:ind w:left="360"/>
      </w:pPr>
      <w:r>
        <w:t xml:space="preserve">SEAC believes it is important to have regular updates about Professional Support Services, since these services are integral to serving the needs of special education students. </w:t>
      </w:r>
    </w:p>
    <w:p w:rsidR="00274DF0" w:rsidRDefault="00274DF0" w:rsidP="00900F08">
      <w:pPr>
        <w:spacing w:before="0"/>
        <w:ind w:left="360"/>
        <w:rPr>
          <w:b/>
          <w:i/>
        </w:rPr>
      </w:pPr>
      <w:r>
        <w:rPr>
          <w:b/>
          <w:i/>
        </w:rPr>
        <w:t>Actions:</w:t>
      </w:r>
    </w:p>
    <w:p w:rsidR="00274DF0" w:rsidRPr="00274DF0" w:rsidRDefault="00274DF0" w:rsidP="00900F08">
      <w:pPr>
        <w:spacing w:before="0" w:after="240"/>
        <w:ind w:left="360"/>
        <w:rPr>
          <w:b/>
          <w:i/>
        </w:rPr>
      </w:pPr>
      <w:r w:rsidRPr="00274DF0">
        <w:rPr>
          <w:b/>
          <w:i/>
        </w:rPr>
        <w:t>Uton Robinson undertook to refer SEAC’s question about budget impacts on Professional Support Services to Sandy Spyropoulos, Executive Superintendent of Student Services and Care and provide an update to SEAC at the April meeting.</w:t>
      </w:r>
    </w:p>
    <w:p w:rsidR="00AC78E8" w:rsidRDefault="00DC4ACC" w:rsidP="00900F08">
      <w:pPr>
        <w:spacing w:before="0"/>
        <w:ind w:left="360"/>
      </w:pPr>
      <w:r>
        <w:t xml:space="preserve">SEAC </w:t>
      </w:r>
      <w:r w:rsidR="00F91E8E">
        <w:t>Chair</w:t>
      </w:r>
      <w:r w:rsidR="00F10DCC">
        <w:t xml:space="preserve"> </w:t>
      </w:r>
      <w:r>
        <w:t xml:space="preserve">David Lepofsky </w:t>
      </w:r>
      <w:r w:rsidR="00F10DCC">
        <w:t>concluded the discussion</w:t>
      </w:r>
      <w:r w:rsidR="00AC78E8">
        <w:t xml:space="preserve"> with some closing comments:</w:t>
      </w:r>
    </w:p>
    <w:p w:rsidR="00AC78E8" w:rsidRDefault="00274DF0" w:rsidP="00900F08">
      <w:pPr>
        <w:pStyle w:val="ListParagraph"/>
        <w:numPr>
          <w:ilvl w:val="0"/>
          <w:numId w:val="18"/>
        </w:numPr>
        <w:spacing w:before="0" w:after="240"/>
        <w:ind w:left="810" w:hanging="270"/>
      </w:pPr>
      <w:r>
        <w:t>He t</w:t>
      </w:r>
      <w:r w:rsidR="00AC78E8">
        <w:t>hanked</w:t>
      </w:r>
      <w:r w:rsidR="00F10DCC">
        <w:t xml:space="preserve"> staff for sharing information in January about the $3 million in </w:t>
      </w:r>
      <w:r w:rsidR="00F91E8E">
        <w:t xml:space="preserve">Ministry of Education </w:t>
      </w:r>
      <w:r w:rsidR="00F10DCC">
        <w:t>cuts</w:t>
      </w:r>
      <w:r w:rsidR="00F91E8E">
        <w:t xml:space="preserve"> to High Needs Funding (HNA)</w:t>
      </w:r>
      <w:r w:rsidR="00AC78E8">
        <w:t xml:space="preserve"> so SEAC could be proactive in voicing its concerns and making recommendations to the board.</w:t>
      </w:r>
    </w:p>
    <w:p w:rsidR="00AC78E8" w:rsidRDefault="00AC78E8" w:rsidP="00900F08">
      <w:pPr>
        <w:pStyle w:val="ListParagraph"/>
        <w:numPr>
          <w:ilvl w:val="0"/>
          <w:numId w:val="18"/>
        </w:numPr>
        <w:spacing w:before="0" w:after="240"/>
        <w:ind w:left="810" w:hanging="270"/>
      </w:pPr>
      <w:r>
        <w:t>Actions being taken by SEAC are successful in putting SEAC on the map increasing SEAC’s visibility and advocacy effectiveness, and need to continue</w:t>
      </w:r>
      <w:r w:rsidR="00F10DCC">
        <w:t xml:space="preserve">. </w:t>
      </w:r>
    </w:p>
    <w:p w:rsidR="00AC78E8" w:rsidRDefault="00AC78E8" w:rsidP="00900F08">
      <w:pPr>
        <w:pStyle w:val="ListParagraph"/>
        <w:numPr>
          <w:ilvl w:val="0"/>
          <w:numId w:val="18"/>
        </w:numPr>
        <w:spacing w:before="0" w:after="240"/>
        <w:ind w:left="810" w:hanging="270"/>
      </w:pPr>
      <w:r>
        <w:lastRenderedPageBreak/>
        <w:t>T</w:t>
      </w:r>
      <w:r w:rsidR="00F10DCC">
        <w:t xml:space="preserve">he lack of cuts </w:t>
      </w:r>
      <w:r>
        <w:t xml:space="preserve">made </w:t>
      </w:r>
      <w:r w:rsidR="00F10DCC">
        <w:t xml:space="preserve">to ground floor </w:t>
      </w:r>
      <w:r>
        <w:t xml:space="preserve">special education </w:t>
      </w:r>
      <w:r w:rsidR="00F10DCC">
        <w:t xml:space="preserve">teaching staff </w:t>
      </w:r>
      <w:r>
        <w:t xml:space="preserve">is </w:t>
      </w:r>
      <w:r w:rsidR="00F10DCC">
        <w:t xml:space="preserve">due in part to SEAC’s actions. </w:t>
      </w:r>
    </w:p>
    <w:p w:rsidR="00AC78E8" w:rsidRDefault="00F10DCC" w:rsidP="00900F08">
      <w:pPr>
        <w:pStyle w:val="ListParagraph"/>
        <w:numPr>
          <w:ilvl w:val="0"/>
          <w:numId w:val="18"/>
        </w:numPr>
        <w:spacing w:before="0" w:after="240"/>
        <w:ind w:left="810" w:hanging="270"/>
      </w:pPr>
      <w:r>
        <w:t>The board is required to consult on the spec</w:t>
      </w:r>
      <w:r w:rsidR="00AC78E8">
        <w:t xml:space="preserve">ial </w:t>
      </w:r>
      <w:r>
        <w:t>ed</w:t>
      </w:r>
      <w:r w:rsidR="00AC78E8">
        <w:t>ucation budget. In his opinion, this requires consultation</w:t>
      </w:r>
      <w:r>
        <w:t xml:space="preserve"> </w:t>
      </w:r>
      <w:r w:rsidR="00AC78E8">
        <w:t xml:space="preserve">on </w:t>
      </w:r>
      <w:r>
        <w:t>any budget that impacts on special education students</w:t>
      </w:r>
      <w:r w:rsidR="00AC78E8">
        <w:t>,</w:t>
      </w:r>
      <w:r>
        <w:t xml:space="preserve"> no matter where they</w:t>
      </w:r>
      <w:r w:rsidR="00AC78E8">
        <w:t xml:space="preserve"> are serviced.</w:t>
      </w:r>
    </w:p>
    <w:p w:rsidR="00900F08" w:rsidRDefault="00F10DCC" w:rsidP="002018BB">
      <w:pPr>
        <w:pStyle w:val="ListParagraph"/>
        <w:numPr>
          <w:ilvl w:val="0"/>
          <w:numId w:val="18"/>
        </w:numPr>
        <w:spacing w:before="0" w:after="240"/>
        <w:ind w:left="810" w:hanging="270"/>
      </w:pPr>
      <w:r>
        <w:t>The board</w:t>
      </w:r>
      <w:r w:rsidR="00AC78E8">
        <w:t xml:space="preserve"> has not received numbers yet. He w</w:t>
      </w:r>
      <w:r>
        <w:t xml:space="preserve">ill </w:t>
      </w:r>
      <w:r w:rsidR="00AC78E8">
        <w:t>persist</w:t>
      </w:r>
      <w:r>
        <w:t xml:space="preserve"> with the request to appear before the board</w:t>
      </w:r>
      <w:r w:rsidR="00AC78E8">
        <w:t xml:space="preserve"> since, according to the legislation, SEAC has</w:t>
      </w:r>
      <w:r>
        <w:t xml:space="preserve"> the</w:t>
      </w:r>
      <w:r w:rsidR="00AC78E8">
        <w:t xml:space="preserve"> right to be heard by the board.</w:t>
      </w:r>
    </w:p>
    <w:p w:rsidR="009A3281" w:rsidRPr="00900F08" w:rsidRDefault="009A3281" w:rsidP="00C8528D">
      <w:pPr>
        <w:pStyle w:val="Heading2"/>
        <w:numPr>
          <w:ilvl w:val="0"/>
          <w:numId w:val="11"/>
        </w:numPr>
        <w:ind w:left="360"/>
      </w:pPr>
      <w:r w:rsidRPr="00900F08">
        <w:t>SEAC Priority 1 – How can TDSB improve its process for deciding what educational services and supports a child with special needs will receive?</w:t>
      </w:r>
    </w:p>
    <w:p w:rsidR="00307523" w:rsidRDefault="00DC4ACC" w:rsidP="00307523">
      <w:pPr>
        <w:ind w:left="360"/>
      </w:pPr>
      <w:r>
        <w:t>David Lepofsky</w:t>
      </w:r>
      <w:r w:rsidR="005D3B92">
        <w:t xml:space="preserve"> introduced the presentations with details about the organizations and their functions, highlighting them as two</w:t>
      </w:r>
      <w:r w:rsidR="009A3281" w:rsidRPr="00E65FA7">
        <w:t xml:space="preserve"> respected legal clinics where families with spec</w:t>
      </w:r>
      <w:r w:rsidR="005D3B92">
        <w:t xml:space="preserve">ial </w:t>
      </w:r>
      <w:r w:rsidR="009A3281" w:rsidRPr="00E65FA7">
        <w:t>ed</w:t>
      </w:r>
      <w:r w:rsidR="005D3B92">
        <w:t>ucation</w:t>
      </w:r>
      <w:r w:rsidR="009A3281" w:rsidRPr="00E65FA7">
        <w:t xml:space="preserve"> needs may </w:t>
      </w:r>
      <w:r w:rsidR="005D3B92">
        <w:t>seek help. He reminded SEAC that they would be spea</w:t>
      </w:r>
      <w:r>
        <w:t xml:space="preserve">king about some trending issues, but that </w:t>
      </w:r>
      <w:r w:rsidR="005D3B92">
        <w:t xml:space="preserve">the information should not be heard as </w:t>
      </w:r>
      <w:r w:rsidR="009A3281">
        <w:t xml:space="preserve">representative of </w:t>
      </w:r>
      <w:r w:rsidR="009A3281" w:rsidRPr="00DC4ACC">
        <w:rPr>
          <w:u w:val="single"/>
        </w:rPr>
        <w:t>all</w:t>
      </w:r>
      <w:r w:rsidR="005D3B92" w:rsidRPr="00DC4ACC">
        <w:rPr>
          <w:u w:val="single"/>
        </w:rPr>
        <w:t xml:space="preserve"> </w:t>
      </w:r>
      <w:r w:rsidR="005D3B92">
        <w:t xml:space="preserve">parent experience. Robert </w:t>
      </w:r>
      <w:proofErr w:type="spellStart"/>
      <w:r w:rsidR="005D3B92">
        <w:t>Lattanzio</w:t>
      </w:r>
      <w:proofErr w:type="spellEnd"/>
      <w:r w:rsidR="005D3B92">
        <w:t>, Executive Director of</w:t>
      </w:r>
      <w:r w:rsidR="005D3B92" w:rsidRPr="00C22366">
        <w:t xml:space="preserve"> the ARCH Disability Law Centre</w:t>
      </w:r>
      <w:r>
        <w:t xml:space="preserve"> was unable to attend and was</w:t>
      </w:r>
      <w:r w:rsidR="005D3B92">
        <w:t xml:space="preserve"> replaced by Luke </w:t>
      </w:r>
      <w:r w:rsidR="00307523">
        <w:t>Reid.</w:t>
      </w:r>
      <w:r w:rsidR="00EA5487">
        <w:t xml:space="preserve"> </w:t>
      </w:r>
    </w:p>
    <w:p w:rsidR="005D3B92" w:rsidRPr="00C8528D" w:rsidRDefault="00D07629" w:rsidP="00307523">
      <w:pPr>
        <w:ind w:left="360"/>
        <w:rPr>
          <w:b/>
          <w:sz w:val="24"/>
          <w:szCs w:val="24"/>
        </w:rPr>
      </w:pPr>
      <w:r>
        <w:rPr>
          <w:b/>
          <w:sz w:val="24"/>
          <w:szCs w:val="24"/>
        </w:rPr>
        <w:t xml:space="preserve">5.1 </w:t>
      </w:r>
      <w:r w:rsidR="00EA5487" w:rsidRPr="00C8528D">
        <w:rPr>
          <w:b/>
          <w:sz w:val="24"/>
          <w:szCs w:val="24"/>
        </w:rPr>
        <w:t xml:space="preserve">Presentation by </w:t>
      </w:r>
      <w:r w:rsidR="005D3B92" w:rsidRPr="00C8528D">
        <w:rPr>
          <w:b/>
          <w:sz w:val="24"/>
          <w:szCs w:val="24"/>
        </w:rPr>
        <w:t xml:space="preserve">Luke </w:t>
      </w:r>
      <w:r w:rsidR="00307523">
        <w:rPr>
          <w:b/>
          <w:sz w:val="24"/>
          <w:szCs w:val="24"/>
        </w:rPr>
        <w:t>Reid</w:t>
      </w:r>
      <w:r w:rsidR="00EA5487" w:rsidRPr="00307523">
        <w:rPr>
          <w:b/>
          <w:sz w:val="24"/>
          <w:szCs w:val="24"/>
        </w:rPr>
        <w:t>,</w:t>
      </w:r>
      <w:r w:rsidR="00EA5487" w:rsidRPr="00C8528D">
        <w:rPr>
          <w:b/>
          <w:sz w:val="24"/>
          <w:szCs w:val="24"/>
        </w:rPr>
        <w:t xml:space="preserve"> ARCH Disability Law Centre</w:t>
      </w:r>
    </w:p>
    <w:p w:rsidR="009A3281" w:rsidRDefault="00EA5487" w:rsidP="006F7B18">
      <w:pPr>
        <w:ind w:left="360"/>
      </w:pPr>
      <w:r>
        <w:t xml:space="preserve">Mr. </w:t>
      </w:r>
      <w:r w:rsidR="00307523">
        <w:t>Reid</w:t>
      </w:r>
      <w:r>
        <w:t xml:space="preserve"> g</w:t>
      </w:r>
      <w:r w:rsidR="005D3B92">
        <w:t>ave a very brief overview of education legislation that intersects with the kinds of p</w:t>
      </w:r>
      <w:r>
        <w:t xml:space="preserve">arent concerns </w:t>
      </w:r>
      <w:r w:rsidR="00DC4ACC">
        <w:t>ARCH</w:t>
      </w:r>
      <w:r>
        <w:t xml:space="preserve"> hear</w:t>
      </w:r>
      <w:r w:rsidR="00DC4ACC">
        <w:t>s</w:t>
      </w:r>
      <w:r>
        <w:t xml:space="preserve"> about. Concerns generally fall around the Individual Education Plan (IEP) and the Identification, Placement and Review Committee (IPRC). </w:t>
      </w:r>
      <w:r w:rsidR="009A3281">
        <w:t xml:space="preserve">If a parent is unhappy about IPRC, they have a right to appeal to a </w:t>
      </w:r>
      <w:r w:rsidR="009A3281" w:rsidRPr="00EA5487">
        <w:rPr>
          <w:i/>
        </w:rPr>
        <w:t>Special Education Appeal Board</w:t>
      </w:r>
      <w:r w:rsidR="009A3281">
        <w:t>. After that</w:t>
      </w:r>
      <w:r>
        <w:t>, appeal can be made to a</w:t>
      </w:r>
      <w:r w:rsidR="009A3281">
        <w:t xml:space="preserve"> </w:t>
      </w:r>
      <w:r w:rsidR="009A3281" w:rsidRPr="00EA5487">
        <w:rPr>
          <w:i/>
        </w:rPr>
        <w:t>Spec</w:t>
      </w:r>
      <w:r w:rsidRPr="00EA5487">
        <w:rPr>
          <w:i/>
        </w:rPr>
        <w:t>ial</w:t>
      </w:r>
      <w:r w:rsidR="009A3281" w:rsidRPr="00EA5487">
        <w:rPr>
          <w:i/>
        </w:rPr>
        <w:t xml:space="preserve"> Ed</w:t>
      </w:r>
      <w:r w:rsidRPr="00EA5487">
        <w:rPr>
          <w:i/>
        </w:rPr>
        <w:t>ucation</w:t>
      </w:r>
      <w:r w:rsidR="009A3281" w:rsidRPr="00EA5487">
        <w:rPr>
          <w:i/>
        </w:rPr>
        <w:t xml:space="preserve"> Tribunal</w:t>
      </w:r>
      <w:r w:rsidR="009A3281">
        <w:t xml:space="preserve"> which functions as the final word. The only other le</w:t>
      </w:r>
      <w:r>
        <w:t>gal process is through a Human Rights Complaint, which</w:t>
      </w:r>
      <w:r w:rsidR="009A3281">
        <w:t xml:space="preserve"> does not represent a good solution for the</w:t>
      </w:r>
      <w:r>
        <w:t xml:space="preserve"> kinds of issues </w:t>
      </w:r>
      <w:r w:rsidR="009A3281">
        <w:t xml:space="preserve">parents face </w:t>
      </w:r>
      <w:r>
        <w:t xml:space="preserve">with regards to the Individual Education Plan or the Identification, Placement and Review Committee (IPRC).  </w:t>
      </w:r>
      <w:r w:rsidR="009A3281">
        <w:t>.</w:t>
      </w:r>
    </w:p>
    <w:p w:rsidR="009A3281" w:rsidRDefault="00D07629" w:rsidP="006F7B18">
      <w:pPr>
        <w:ind w:left="360"/>
      </w:pPr>
      <w:r>
        <w:t>Mr. Reid</w:t>
      </w:r>
      <w:r w:rsidR="00EA5487">
        <w:t xml:space="preserve"> gave examples of some of the concerns they receive from </w:t>
      </w:r>
      <w:r w:rsidR="009A3281">
        <w:t>calls or hear</w:t>
      </w:r>
      <w:r w:rsidR="00EA5487">
        <w:t xml:space="preserve"> about when giving</w:t>
      </w:r>
      <w:r w:rsidR="009A3281">
        <w:t xml:space="preserve"> </w:t>
      </w:r>
      <w:r w:rsidR="00EA5487">
        <w:t xml:space="preserve">community-based </w:t>
      </w:r>
      <w:r w:rsidR="009A3281">
        <w:t>presentations</w:t>
      </w:r>
      <w:r w:rsidR="00C46FF4">
        <w:t>. They include</w:t>
      </w:r>
      <w:r w:rsidR="009A3281">
        <w:t>:</w:t>
      </w:r>
    </w:p>
    <w:p w:rsidR="00C46FF4" w:rsidRDefault="009A3281" w:rsidP="006F7B18">
      <w:pPr>
        <w:pStyle w:val="ListParagraph"/>
        <w:numPr>
          <w:ilvl w:val="0"/>
          <w:numId w:val="20"/>
        </w:numPr>
        <w:rPr>
          <w:bCs/>
        </w:rPr>
      </w:pPr>
      <w:r>
        <w:rPr>
          <w:bCs/>
        </w:rPr>
        <w:t xml:space="preserve">Problems with accommodations – </w:t>
      </w:r>
      <w:r w:rsidR="00DC4ACC">
        <w:rPr>
          <w:bCs/>
        </w:rPr>
        <w:t>i</w:t>
      </w:r>
      <w:r w:rsidR="00C46FF4">
        <w:rPr>
          <w:bCs/>
        </w:rPr>
        <w:t>ncluding concerns about:</w:t>
      </w:r>
    </w:p>
    <w:p w:rsidR="00C46FF4" w:rsidRDefault="006F7B18" w:rsidP="006F7B18">
      <w:pPr>
        <w:pStyle w:val="ListParagraph"/>
        <w:numPr>
          <w:ilvl w:val="0"/>
          <w:numId w:val="23"/>
        </w:numPr>
        <w:ind w:left="1080" w:hanging="270"/>
        <w:rPr>
          <w:bCs/>
        </w:rPr>
      </w:pPr>
      <w:r>
        <w:rPr>
          <w:bCs/>
        </w:rPr>
        <w:t>N</w:t>
      </w:r>
      <w:r w:rsidR="009A3281">
        <w:rPr>
          <w:bCs/>
        </w:rPr>
        <w:t>ot enough E</w:t>
      </w:r>
      <w:r w:rsidR="00C46FF4">
        <w:rPr>
          <w:bCs/>
        </w:rPr>
        <w:t xml:space="preserve">ducational </w:t>
      </w:r>
      <w:r w:rsidR="009A3281">
        <w:rPr>
          <w:bCs/>
        </w:rPr>
        <w:t>A</w:t>
      </w:r>
      <w:r w:rsidR="00C46FF4">
        <w:rPr>
          <w:bCs/>
        </w:rPr>
        <w:t>s</w:t>
      </w:r>
      <w:r w:rsidR="009A3281">
        <w:rPr>
          <w:bCs/>
        </w:rPr>
        <w:t>s</w:t>
      </w:r>
      <w:r w:rsidR="00C46FF4">
        <w:rPr>
          <w:bCs/>
        </w:rPr>
        <w:t>istants</w:t>
      </w:r>
      <w:r w:rsidR="009A3281">
        <w:rPr>
          <w:bCs/>
        </w:rPr>
        <w:t xml:space="preserve"> </w:t>
      </w:r>
    </w:p>
    <w:p w:rsidR="00C46FF4" w:rsidRDefault="006F7B18" w:rsidP="006F7B18">
      <w:pPr>
        <w:pStyle w:val="ListParagraph"/>
        <w:numPr>
          <w:ilvl w:val="0"/>
          <w:numId w:val="23"/>
        </w:numPr>
        <w:ind w:left="1080" w:hanging="270"/>
        <w:rPr>
          <w:bCs/>
        </w:rPr>
      </w:pPr>
      <w:r>
        <w:rPr>
          <w:bCs/>
        </w:rPr>
        <w:t>B</w:t>
      </w:r>
      <w:r w:rsidR="00DC4ACC">
        <w:rPr>
          <w:bCs/>
        </w:rPr>
        <w:t>udgetary issues</w:t>
      </w:r>
      <w:r w:rsidR="00C46FF4">
        <w:rPr>
          <w:bCs/>
        </w:rPr>
        <w:t xml:space="preserve"> </w:t>
      </w:r>
    </w:p>
    <w:p w:rsidR="00C46FF4" w:rsidRDefault="006F7B18" w:rsidP="006F7B18">
      <w:pPr>
        <w:pStyle w:val="ListParagraph"/>
        <w:numPr>
          <w:ilvl w:val="0"/>
          <w:numId w:val="23"/>
        </w:numPr>
        <w:ind w:left="1080" w:hanging="270"/>
        <w:rPr>
          <w:bCs/>
        </w:rPr>
      </w:pPr>
      <w:r>
        <w:rPr>
          <w:bCs/>
        </w:rPr>
        <w:t>P</w:t>
      </w:r>
      <w:r w:rsidR="00C46FF4">
        <w:rPr>
          <w:bCs/>
        </w:rPr>
        <w:t xml:space="preserve">arents not </w:t>
      </w:r>
      <w:r>
        <w:rPr>
          <w:bCs/>
        </w:rPr>
        <w:t>being</w:t>
      </w:r>
      <w:r w:rsidR="00C46FF4">
        <w:rPr>
          <w:bCs/>
        </w:rPr>
        <w:t xml:space="preserve"> told about meetings h</w:t>
      </w:r>
      <w:r w:rsidR="00DC4ACC">
        <w:rPr>
          <w:bCs/>
        </w:rPr>
        <w:t>eld regarding a student’s needs</w:t>
      </w:r>
    </w:p>
    <w:p w:rsidR="00C46FF4" w:rsidRDefault="006F7B18" w:rsidP="006F7B18">
      <w:pPr>
        <w:pStyle w:val="ListParagraph"/>
        <w:numPr>
          <w:ilvl w:val="0"/>
          <w:numId w:val="23"/>
        </w:numPr>
        <w:ind w:left="1080" w:hanging="270"/>
        <w:rPr>
          <w:bCs/>
        </w:rPr>
      </w:pPr>
      <w:r>
        <w:rPr>
          <w:bCs/>
        </w:rPr>
        <w:t>P</w:t>
      </w:r>
      <w:r w:rsidR="00C46FF4">
        <w:rPr>
          <w:bCs/>
        </w:rPr>
        <w:t>arents unaware of the accommodation options the board has for their child</w:t>
      </w:r>
      <w:r w:rsidR="009A3281">
        <w:rPr>
          <w:bCs/>
        </w:rPr>
        <w:t xml:space="preserve"> </w:t>
      </w:r>
    </w:p>
    <w:p w:rsidR="009A3281" w:rsidRDefault="006F7B18" w:rsidP="006F7B18">
      <w:pPr>
        <w:pStyle w:val="ListParagraph"/>
        <w:numPr>
          <w:ilvl w:val="0"/>
          <w:numId w:val="23"/>
        </w:numPr>
        <w:ind w:left="1080" w:hanging="270"/>
        <w:rPr>
          <w:bCs/>
        </w:rPr>
      </w:pPr>
      <w:r>
        <w:rPr>
          <w:bCs/>
        </w:rPr>
        <w:t>Parents b</w:t>
      </w:r>
      <w:r w:rsidR="00C46FF4">
        <w:rPr>
          <w:bCs/>
        </w:rPr>
        <w:t>eing told such things as: the child</w:t>
      </w:r>
      <w:r w:rsidR="009A3281">
        <w:rPr>
          <w:bCs/>
        </w:rPr>
        <w:t xml:space="preserve"> should be on med</w:t>
      </w:r>
      <w:r w:rsidR="00C46FF4">
        <w:rPr>
          <w:bCs/>
        </w:rPr>
        <w:t>ication</w:t>
      </w:r>
      <w:r w:rsidR="009A3281">
        <w:rPr>
          <w:bCs/>
        </w:rPr>
        <w:t xml:space="preserve">s; </w:t>
      </w:r>
      <w:r w:rsidR="00C46FF4">
        <w:rPr>
          <w:bCs/>
        </w:rPr>
        <w:t xml:space="preserve">the school is </w:t>
      </w:r>
      <w:r w:rsidR="009A3281">
        <w:rPr>
          <w:bCs/>
        </w:rPr>
        <w:t xml:space="preserve">not obligated to accommodate the child; </w:t>
      </w:r>
      <w:r w:rsidR="00C46FF4">
        <w:rPr>
          <w:bCs/>
        </w:rPr>
        <w:t>the child is fine and</w:t>
      </w:r>
      <w:r w:rsidR="009A3281">
        <w:rPr>
          <w:bCs/>
        </w:rPr>
        <w:t xml:space="preserve"> no IPRC </w:t>
      </w:r>
      <w:r w:rsidR="00C46FF4">
        <w:rPr>
          <w:bCs/>
        </w:rPr>
        <w:t xml:space="preserve">is </w:t>
      </w:r>
      <w:r w:rsidR="009A3281">
        <w:rPr>
          <w:bCs/>
        </w:rPr>
        <w:t xml:space="preserve">needed; </w:t>
      </w:r>
      <w:r w:rsidR="00C46FF4">
        <w:rPr>
          <w:bCs/>
        </w:rPr>
        <w:t xml:space="preserve">the school </w:t>
      </w:r>
      <w:r w:rsidR="009A3281">
        <w:rPr>
          <w:bCs/>
        </w:rPr>
        <w:t>can</w:t>
      </w:r>
      <w:r w:rsidR="00C46FF4">
        <w:rPr>
          <w:bCs/>
        </w:rPr>
        <w:t>’t manage the child’s behaviour</w:t>
      </w:r>
      <w:r w:rsidR="009A3281">
        <w:rPr>
          <w:bCs/>
        </w:rPr>
        <w:t xml:space="preserve"> </w:t>
      </w:r>
    </w:p>
    <w:p w:rsidR="00C46FF4" w:rsidRPr="00C46FF4" w:rsidRDefault="00C46FF4" w:rsidP="006F7B18">
      <w:pPr>
        <w:pStyle w:val="ListParagraph"/>
        <w:ind w:left="360"/>
        <w:rPr>
          <w:bCs/>
          <w:sz w:val="12"/>
          <w:szCs w:val="12"/>
        </w:rPr>
      </w:pPr>
    </w:p>
    <w:p w:rsidR="00C46FF4" w:rsidRDefault="009A3281" w:rsidP="006F7B18">
      <w:pPr>
        <w:pStyle w:val="ListParagraph"/>
        <w:numPr>
          <w:ilvl w:val="0"/>
          <w:numId w:val="20"/>
        </w:numPr>
        <w:tabs>
          <w:tab w:val="left" w:pos="720"/>
        </w:tabs>
        <w:rPr>
          <w:bCs/>
        </w:rPr>
      </w:pPr>
      <w:r>
        <w:rPr>
          <w:bCs/>
        </w:rPr>
        <w:t xml:space="preserve">Inappropriate discipline or </w:t>
      </w:r>
      <w:r w:rsidR="00C46FF4">
        <w:rPr>
          <w:bCs/>
        </w:rPr>
        <w:t>‘</w:t>
      </w:r>
      <w:r>
        <w:rPr>
          <w:bCs/>
        </w:rPr>
        <w:t>exclusion</w:t>
      </w:r>
      <w:r w:rsidR="00C46FF4">
        <w:rPr>
          <w:bCs/>
        </w:rPr>
        <w:t>’</w:t>
      </w:r>
      <w:r>
        <w:rPr>
          <w:bCs/>
        </w:rPr>
        <w:t xml:space="preserve"> for disability related behaviours </w:t>
      </w:r>
    </w:p>
    <w:p w:rsidR="009A3281" w:rsidRDefault="006F7B18" w:rsidP="00D07629">
      <w:pPr>
        <w:tabs>
          <w:tab w:val="left" w:pos="720"/>
        </w:tabs>
        <w:spacing w:after="0"/>
        <w:ind w:left="720" w:hanging="360"/>
        <w:rPr>
          <w:bCs/>
        </w:rPr>
      </w:pPr>
      <w:r>
        <w:rPr>
          <w:bCs/>
        </w:rPr>
        <w:tab/>
      </w:r>
      <w:r w:rsidR="00C46FF4">
        <w:rPr>
          <w:bCs/>
        </w:rPr>
        <w:t xml:space="preserve">Mr. </w:t>
      </w:r>
      <w:r w:rsidR="00307523">
        <w:rPr>
          <w:bCs/>
        </w:rPr>
        <w:t>Reid</w:t>
      </w:r>
      <w:r w:rsidR="00C46FF4">
        <w:rPr>
          <w:bCs/>
        </w:rPr>
        <w:t xml:space="preserve"> explained that ‘</w:t>
      </w:r>
      <w:r w:rsidR="009A3281" w:rsidRPr="00C46FF4">
        <w:rPr>
          <w:bCs/>
        </w:rPr>
        <w:t>exclusion</w:t>
      </w:r>
      <w:r w:rsidR="00C46FF4">
        <w:rPr>
          <w:bCs/>
        </w:rPr>
        <w:t>’</w:t>
      </w:r>
      <w:r w:rsidR="009A3281" w:rsidRPr="00C46FF4">
        <w:rPr>
          <w:bCs/>
        </w:rPr>
        <w:t xml:space="preserve"> come</w:t>
      </w:r>
      <w:r w:rsidR="00C46FF4">
        <w:rPr>
          <w:bCs/>
        </w:rPr>
        <w:t>s</w:t>
      </w:r>
      <w:r w:rsidR="009A3281" w:rsidRPr="00C46FF4">
        <w:rPr>
          <w:bCs/>
        </w:rPr>
        <w:t xml:space="preserve"> from </w:t>
      </w:r>
      <w:r w:rsidR="00C46FF4">
        <w:rPr>
          <w:bCs/>
        </w:rPr>
        <w:t xml:space="preserve">provisions in the </w:t>
      </w:r>
      <w:r w:rsidR="009A3281" w:rsidRPr="00C46FF4">
        <w:rPr>
          <w:bCs/>
        </w:rPr>
        <w:t>Ed</w:t>
      </w:r>
      <w:r w:rsidR="00C46FF4">
        <w:rPr>
          <w:bCs/>
        </w:rPr>
        <w:t>ucation</w:t>
      </w:r>
      <w:r w:rsidR="009A3281" w:rsidRPr="00C46FF4">
        <w:rPr>
          <w:bCs/>
        </w:rPr>
        <w:t xml:space="preserve"> Act</w:t>
      </w:r>
      <w:r w:rsidR="00C46FF4">
        <w:rPr>
          <w:bCs/>
        </w:rPr>
        <w:t>,</w:t>
      </w:r>
      <w:r w:rsidR="009A3281" w:rsidRPr="00C46FF4">
        <w:rPr>
          <w:bCs/>
        </w:rPr>
        <w:t xml:space="preserve"> allowing a principal to exclude a child from school or classroom</w:t>
      </w:r>
      <w:r w:rsidR="00C46FF4">
        <w:rPr>
          <w:bCs/>
        </w:rPr>
        <w:t>.</w:t>
      </w:r>
      <w:r w:rsidR="00FD5EC6">
        <w:rPr>
          <w:rStyle w:val="FootnoteReference"/>
          <w:bCs/>
        </w:rPr>
        <w:footnoteReference w:id="2"/>
      </w:r>
      <w:r w:rsidR="00C46FF4">
        <w:rPr>
          <w:bCs/>
        </w:rPr>
        <w:t xml:space="preserve"> T</w:t>
      </w:r>
      <w:r w:rsidR="00DC4ACC">
        <w:rPr>
          <w:bCs/>
        </w:rPr>
        <w:t>his power is</w:t>
      </w:r>
      <w:r w:rsidR="009A3281" w:rsidRPr="00C46FF4">
        <w:rPr>
          <w:bCs/>
        </w:rPr>
        <w:t xml:space="preserve"> not </w:t>
      </w:r>
      <w:r w:rsidR="00C46FF4">
        <w:rPr>
          <w:bCs/>
        </w:rPr>
        <w:t xml:space="preserve">tracked and </w:t>
      </w:r>
      <w:r w:rsidR="009A3281" w:rsidRPr="00C46FF4">
        <w:rPr>
          <w:bCs/>
        </w:rPr>
        <w:t xml:space="preserve">is </w:t>
      </w:r>
      <w:r w:rsidR="009A3281" w:rsidRPr="00C46FF4">
        <w:rPr>
          <w:bCs/>
        </w:rPr>
        <w:lastRenderedPageBreak/>
        <w:t xml:space="preserve">used as a temporary solution to a problem related to the student’s disability and </w:t>
      </w:r>
      <w:r w:rsidR="00C46FF4">
        <w:rPr>
          <w:bCs/>
        </w:rPr>
        <w:t xml:space="preserve">the </w:t>
      </w:r>
      <w:r w:rsidR="009A3281" w:rsidRPr="00C46FF4">
        <w:rPr>
          <w:bCs/>
        </w:rPr>
        <w:t xml:space="preserve">inability of the school to provide the </w:t>
      </w:r>
      <w:r w:rsidR="00C46FF4">
        <w:rPr>
          <w:bCs/>
        </w:rPr>
        <w:t xml:space="preserve">needed </w:t>
      </w:r>
      <w:r w:rsidR="009A3281" w:rsidRPr="00C46FF4">
        <w:rPr>
          <w:bCs/>
        </w:rPr>
        <w:t>sup</w:t>
      </w:r>
      <w:r w:rsidR="00C46FF4">
        <w:rPr>
          <w:bCs/>
        </w:rPr>
        <w:t>p</w:t>
      </w:r>
      <w:r w:rsidR="009A3281" w:rsidRPr="00C46FF4">
        <w:rPr>
          <w:bCs/>
        </w:rPr>
        <w:t>ort</w:t>
      </w:r>
      <w:r w:rsidR="00C46FF4">
        <w:rPr>
          <w:bCs/>
        </w:rPr>
        <w:t>.</w:t>
      </w:r>
      <w:r w:rsidR="00C9508A">
        <w:rPr>
          <w:bCs/>
        </w:rPr>
        <w:t xml:space="preserve"> While these exclusions are supposed to be temporary, some </w:t>
      </w:r>
      <w:proofErr w:type="gramStart"/>
      <w:r w:rsidR="00C9508A">
        <w:rPr>
          <w:bCs/>
        </w:rPr>
        <w:t>exclusions</w:t>
      </w:r>
      <w:proofErr w:type="gramEnd"/>
      <w:r w:rsidR="00C9508A">
        <w:rPr>
          <w:bCs/>
        </w:rPr>
        <w:t xml:space="preserve"> have been for as long as a month.</w:t>
      </w:r>
      <w:r w:rsidR="00C46FF4">
        <w:rPr>
          <w:bCs/>
        </w:rPr>
        <w:t xml:space="preserve"> Parents have access to</w:t>
      </w:r>
      <w:r w:rsidR="00C46FF4" w:rsidRPr="00C46FF4">
        <w:rPr>
          <w:bCs/>
        </w:rPr>
        <w:t xml:space="preserve"> only one appea</w:t>
      </w:r>
      <w:r w:rsidR="00C46FF4">
        <w:rPr>
          <w:bCs/>
        </w:rPr>
        <w:t>l to the board.</w:t>
      </w:r>
    </w:p>
    <w:p w:rsidR="006F7B18" w:rsidRPr="00C8528D" w:rsidRDefault="009A3281" w:rsidP="00C8528D">
      <w:pPr>
        <w:pStyle w:val="ListParagraph"/>
        <w:numPr>
          <w:ilvl w:val="0"/>
          <w:numId w:val="20"/>
        </w:numPr>
        <w:rPr>
          <w:bCs/>
        </w:rPr>
      </w:pPr>
      <w:r>
        <w:rPr>
          <w:bCs/>
        </w:rPr>
        <w:t>I</w:t>
      </w:r>
      <w:r w:rsidR="00C46FF4">
        <w:rPr>
          <w:bCs/>
        </w:rPr>
        <w:t xml:space="preserve">dentification, </w:t>
      </w:r>
      <w:r>
        <w:rPr>
          <w:bCs/>
        </w:rPr>
        <w:t>P</w:t>
      </w:r>
      <w:r w:rsidR="00C46FF4">
        <w:rPr>
          <w:bCs/>
        </w:rPr>
        <w:t xml:space="preserve">lacement and </w:t>
      </w:r>
      <w:r>
        <w:rPr>
          <w:bCs/>
        </w:rPr>
        <w:t>R</w:t>
      </w:r>
      <w:r w:rsidR="00C46FF4">
        <w:rPr>
          <w:bCs/>
        </w:rPr>
        <w:t xml:space="preserve">eview </w:t>
      </w:r>
      <w:r>
        <w:rPr>
          <w:bCs/>
        </w:rPr>
        <w:t>C</w:t>
      </w:r>
      <w:r w:rsidR="00C46FF4">
        <w:rPr>
          <w:bCs/>
        </w:rPr>
        <w:t>ommittee</w:t>
      </w:r>
      <w:r>
        <w:rPr>
          <w:bCs/>
        </w:rPr>
        <w:t xml:space="preserve"> process</w:t>
      </w:r>
    </w:p>
    <w:p w:rsidR="00C46FF4" w:rsidRPr="00DC4ACC" w:rsidRDefault="00D07629" w:rsidP="00D07629">
      <w:pPr>
        <w:ind w:left="720"/>
        <w:rPr>
          <w:bCs/>
        </w:rPr>
      </w:pPr>
      <w:r>
        <w:rPr>
          <w:bCs/>
        </w:rPr>
        <w:t>Mr. Reid</w:t>
      </w:r>
      <w:r w:rsidR="00C8528D">
        <w:rPr>
          <w:bCs/>
        </w:rPr>
        <w:t xml:space="preserve"> gave e</w:t>
      </w:r>
      <w:r w:rsidR="00C46FF4" w:rsidRPr="00DC4ACC">
        <w:rPr>
          <w:bCs/>
        </w:rPr>
        <w:t xml:space="preserve">xamples of </w:t>
      </w:r>
      <w:r w:rsidR="00C8528D">
        <w:rPr>
          <w:bCs/>
        </w:rPr>
        <w:t xml:space="preserve">the kinds of </w:t>
      </w:r>
      <w:r w:rsidR="00C46FF4" w:rsidRPr="00DC4ACC">
        <w:rPr>
          <w:bCs/>
        </w:rPr>
        <w:t xml:space="preserve">concerns raised: </w:t>
      </w:r>
    </w:p>
    <w:p w:rsidR="006F7B18" w:rsidRDefault="006F7B18" w:rsidP="006F7B18">
      <w:pPr>
        <w:pStyle w:val="ListParagraph"/>
        <w:numPr>
          <w:ilvl w:val="0"/>
          <w:numId w:val="24"/>
        </w:numPr>
        <w:ind w:left="1080" w:hanging="270"/>
        <w:rPr>
          <w:bCs/>
        </w:rPr>
      </w:pPr>
      <w:r>
        <w:rPr>
          <w:bCs/>
        </w:rPr>
        <w:t>Parents d</w:t>
      </w:r>
      <w:r w:rsidR="009A3281" w:rsidRPr="006F7B18">
        <w:rPr>
          <w:bCs/>
        </w:rPr>
        <w:t>on’t feel supported by the school</w:t>
      </w:r>
    </w:p>
    <w:p w:rsidR="006F7B18" w:rsidRDefault="006F7B18" w:rsidP="006F7B18">
      <w:pPr>
        <w:pStyle w:val="ListParagraph"/>
        <w:numPr>
          <w:ilvl w:val="0"/>
          <w:numId w:val="24"/>
        </w:numPr>
        <w:ind w:left="1080" w:hanging="270"/>
        <w:rPr>
          <w:bCs/>
        </w:rPr>
      </w:pPr>
      <w:r>
        <w:rPr>
          <w:bCs/>
        </w:rPr>
        <w:t>B</w:t>
      </w:r>
      <w:r w:rsidR="009A3281" w:rsidRPr="006F7B18">
        <w:rPr>
          <w:bCs/>
        </w:rPr>
        <w:t>ullying</w:t>
      </w:r>
      <w:r>
        <w:rPr>
          <w:bCs/>
        </w:rPr>
        <w:t xml:space="preserve"> of the child</w:t>
      </w:r>
      <w:r w:rsidR="009A3281" w:rsidRPr="006F7B18">
        <w:rPr>
          <w:bCs/>
        </w:rPr>
        <w:t xml:space="preserve"> by teachers or other students</w:t>
      </w:r>
    </w:p>
    <w:p w:rsidR="006F7B18" w:rsidRDefault="009A3281" w:rsidP="006F7B18">
      <w:pPr>
        <w:pStyle w:val="ListParagraph"/>
        <w:numPr>
          <w:ilvl w:val="0"/>
          <w:numId w:val="24"/>
        </w:numPr>
        <w:ind w:left="1080" w:hanging="270"/>
        <w:rPr>
          <w:bCs/>
        </w:rPr>
      </w:pPr>
      <w:r w:rsidRPr="006F7B18">
        <w:rPr>
          <w:bCs/>
        </w:rPr>
        <w:t>Talking about the child</w:t>
      </w:r>
      <w:r w:rsidR="006F7B18">
        <w:rPr>
          <w:bCs/>
        </w:rPr>
        <w:t xml:space="preserve"> in fron</w:t>
      </w:r>
      <w:r w:rsidRPr="006F7B18">
        <w:rPr>
          <w:bCs/>
        </w:rPr>
        <w:t xml:space="preserve">t of the child and/or </w:t>
      </w:r>
      <w:r w:rsidR="006F7B18">
        <w:rPr>
          <w:bCs/>
        </w:rPr>
        <w:t xml:space="preserve">the child’s </w:t>
      </w:r>
      <w:r w:rsidRPr="006F7B18">
        <w:rPr>
          <w:bCs/>
        </w:rPr>
        <w:t>peers</w:t>
      </w:r>
    </w:p>
    <w:p w:rsidR="006F7B18" w:rsidRDefault="006F7B18" w:rsidP="006F7B18">
      <w:pPr>
        <w:pStyle w:val="ListParagraph"/>
        <w:numPr>
          <w:ilvl w:val="0"/>
          <w:numId w:val="24"/>
        </w:numPr>
        <w:ind w:left="1080" w:hanging="270"/>
        <w:rPr>
          <w:bCs/>
        </w:rPr>
      </w:pPr>
      <w:r>
        <w:rPr>
          <w:bCs/>
        </w:rPr>
        <w:t>F</w:t>
      </w:r>
      <w:r w:rsidR="009A3281" w:rsidRPr="006F7B18">
        <w:rPr>
          <w:bCs/>
        </w:rPr>
        <w:t>eel</w:t>
      </w:r>
      <w:r>
        <w:rPr>
          <w:bCs/>
        </w:rPr>
        <w:t>ing that</w:t>
      </w:r>
      <w:r w:rsidR="009A3281" w:rsidRPr="006F7B18">
        <w:rPr>
          <w:bCs/>
        </w:rPr>
        <w:t xml:space="preserve"> the IEP is not being properly implemented</w:t>
      </w:r>
    </w:p>
    <w:p w:rsidR="006F7B18" w:rsidRDefault="006F7B18" w:rsidP="006F7B18">
      <w:pPr>
        <w:pStyle w:val="ListParagraph"/>
        <w:numPr>
          <w:ilvl w:val="0"/>
          <w:numId w:val="24"/>
        </w:numPr>
        <w:ind w:left="1080" w:hanging="270"/>
        <w:rPr>
          <w:bCs/>
        </w:rPr>
      </w:pPr>
      <w:r>
        <w:rPr>
          <w:bCs/>
        </w:rPr>
        <w:t>Parents not</w:t>
      </w:r>
      <w:r w:rsidR="009A3281" w:rsidRPr="006F7B18">
        <w:rPr>
          <w:bCs/>
        </w:rPr>
        <w:t xml:space="preserve"> properly consulted on IEP</w:t>
      </w:r>
    </w:p>
    <w:p w:rsidR="006F7B18" w:rsidRDefault="006F7B18" w:rsidP="006F7B18">
      <w:pPr>
        <w:pStyle w:val="ListParagraph"/>
        <w:numPr>
          <w:ilvl w:val="0"/>
          <w:numId w:val="24"/>
        </w:numPr>
        <w:ind w:left="1080" w:hanging="270"/>
        <w:rPr>
          <w:bCs/>
        </w:rPr>
      </w:pPr>
      <w:r>
        <w:rPr>
          <w:bCs/>
        </w:rPr>
        <w:t>D</w:t>
      </w:r>
      <w:r w:rsidR="009A3281" w:rsidRPr="006F7B18">
        <w:rPr>
          <w:bCs/>
        </w:rPr>
        <w:t xml:space="preserve">elays in assessments, IPRCs, </w:t>
      </w:r>
    </w:p>
    <w:p w:rsidR="006F7B18" w:rsidRDefault="009A3281" w:rsidP="006F7B18">
      <w:pPr>
        <w:pStyle w:val="ListParagraph"/>
        <w:numPr>
          <w:ilvl w:val="0"/>
          <w:numId w:val="24"/>
        </w:numPr>
        <w:ind w:left="1080" w:hanging="270"/>
        <w:rPr>
          <w:bCs/>
        </w:rPr>
      </w:pPr>
      <w:r w:rsidRPr="006F7B18">
        <w:rPr>
          <w:bCs/>
        </w:rPr>
        <w:t xml:space="preserve">School board not always seen as a good place to go to resolve the issue – </w:t>
      </w:r>
      <w:r w:rsidR="00DC4ACC">
        <w:rPr>
          <w:bCs/>
        </w:rPr>
        <w:t>“</w:t>
      </w:r>
      <w:r w:rsidR="006F7B18">
        <w:rPr>
          <w:bCs/>
        </w:rPr>
        <w:t xml:space="preserve">It’s </w:t>
      </w:r>
      <w:r w:rsidRPr="006F7B18">
        <w:rPr>
          <w:bCs/>
        </w:rPr>
        <w:t>there to back up the staff</w:t>
      </w:r>
      <w:r w:rsidR="00DC4ACC">
        <w:rPr>
          <w:bCs/>
        </w:rPr>
        <w:t>.”</w:t>
      </w:r>
    </w:p>
    <w:p w:rsidR="006F7B18" w:rsidRDefault="009A3281" w:rsidP="006F7B18">
      <w:pPr>
        <w:pStyle w:val="ListParagraph"/>
        <w:numPr>
          <w:ilvl w:val="0"/>
          <w:numId w:val="24"/>
        </w:numPr>
        <w:ind w:left="1080" w:hanging="270"/>
        <w:rPr>
          <w:bCs/>
        </w:rPr>
      </w:pPr>
      <w:r w:rsidRPr="006F7B18">
        <w:rPr>
          <w:bCs/>
        </w:rPr>
        <w:t xml:space="preserve">If </w:t>
      </w:r>
      <w:r w:rsidR="00DC4ACC">
        <w:rPr>
          <w:bCs/>
        </w:rPr>
        <w:t xml:space="preserve">parents </w:t>
      </w:r>
      <w:r w:rsidRPr="006F7B18">
        <w:rPr>
          <w:bCs/>
        </w:rPr>
        <w:t xml:space="preserve">go to </w:t>
      </w:r>
      <w:r w:rsidR="006F7B18">
        <w:rPr>
          <w:bCs/>
        </w:rPr>
        <w:t xml:space="preserve">the </w:t>
      </w:r>
      <w:r w:rsidRPr="006F7B18">
        <w:rPr>
          <w:bCs/>
        </w:rPr>
        <w:t xml:space="preserve">board, </w:t>
      </w:r>
      <w:r w:rsidR="006F7B18">
        <w:rPr>
          <w:bCs/>
        </w:rPr>
        <w:t xml:space="preserve">there is </w:t>
      </w:r>
      <w:r w:rsidRPr="006F7B18">
        <w:rPr>
          <w:bCs/>
        </w:rPr>
        <w:t>not adequate follow-up enforcing the resolution</w:t>
      </w:r>
    </w:p>
    <w:p w:rsidR="006F7B18" w:rsidRDefault="006F7B18" w:rsidP="006F7B18">
      <w:pPr>
        <w:pStyle w:val="ListParagraph"/>
        <w:numPr>
          <w:ilvl w:val="0"/>
          <w:numId w:val="24"/>
        </w:numPr>
        <w:ind w:left="1080" w:hanging="270"/>
        <w:rPr>
          <w:bCs/>
        </w:rPr>
      </w:pPr>
      <w:r>
        <w:rPr>
          <w:bCs/>
        </w:rPr>
        <w:t>P</w:t>
      </w:r>
      <w:r w:rsidR="009A3281" w:rsidRPr="006F7B18">
        <w:rPr>
          <w:bCs/>
        </w:rPr>
        <w:t xml:space="preserve">rograms are highly inflexible – interpreted that way by staff, so </w:t>
      </w:r>
      <w:r>
        <w:rPr>
          <w:bCs/>
        </w:rPr>
        <w:t xml:space="preserve">that </w:t>
      </w:r>
      <w:r w:rsidR="009A3281" w:rsidRPr="006F7B18">
        <w:rPr>
          <w:bCs/>
        </w:rPr>
        <w:t>appropriate modifications/accommodations don’t happen – the program remains the same</w:t>
      </w:r>
    </w:p>
    <w:p w:rsidR="00E805CC" w:rsidRPr="00E805CC" w:rsidRDefault="006F7B18" w:rsidP="00C8528D">
      <w:pPr>
        <w:spacing w:after="240"/>
        <w:ind w:left="360"/>
        <w:rPr>
          <w:bCs/>
        </w:rPr>
      </w:pPr>
      <w:r>
        <w:rPr>
          <w:bCs/>
        </w:rPr>
        <w:t xml:space="preserve">Mr. </w:t>
      </w:r>
      <w:r w:rsidR="00057BAB">
        <w:rPr>
          <w:bCs/>
        </w:rPr>
        <w:t>Reid</w:t>
      </w:r>
      <w:r>
        <w:rPr>
          <w:bCs/>
        </w:rPr>
        <w:t xml:space="preserve"> concluded with comments about the lack of a</w:t>
      </w:r>
      <w:r w:rsidR="009A3281" w:rsidRPr="006F7B18">
        <w:rPr>
          <w:bCs/>
        </w:rPr>
        <w:t xml:space="preserve"> good/effective dispute resolution process for parents</w:t>
      </w:r>
      <w:r>
        <w:rPr>
          <w:bCs/>
        </w:rPr>
        <w:t>. The existing appeal processes are work-</w:t>
      </w:r>
      <w:r w:rsidR="009A3281" w:rsidRPr="006F7B18">
        <w:rPr>
          <w:bCs/>
        </w:rPr>
        <w:t>intensive gatherings/hearings</w:t>
      </w:r>
      <w:r>
        <w:rPr>
          <w:bCs/>
        </w:rPr>
        <w:t>, which are lengthy, acrimonious and</w:t>
      </w:r>
      <w:r w:rsidR="009A3281" w:rsidRPr="006F7B18">
        <w:rPr>
          <w:bCs/>
        </w:rPr>
        <w:t xml:space="preserve"> unhelpful</w:t>
      </w:r>
      <w:r>
        <w:rPr>
          <w:bCs/>
        </w:rPr>
        <w:t>. P</w:t>
      </w:r>
      <w:r w:rsidR="009A3281" w:rsidRPr="006F7B18">
        <w:rPr>
          <w:bCs/>
        </w:rPr>
        <w:t xml:space="preserve">arents </w:t>
      </w:r>
      <w:r>
        <w:rPr>
          <w:bCs/>
        </w:rPr>
        <w:t xml:space="preserve">are </w:t>
      </w:r>
      <w:r w:rsidR="009A3281" w:rsidRPr="006F7B18">
        <w:rPr>
          <w:bCs/>
        </w:rPr>
        <w:t>often too exhausted to proceed</w:t>
      </w:r>
      <w:r w:rsidR="00E805CC">
        <w:rPr>
          <w:bCs/>
        </w:rPr>
        <w:t xml:space="preserve"> in the appeal processes open to them</w:t>
      </w:r>
      <w:r>
        <w:rPr>
          <w:bCs/>
        </w:rPr>
        <w:t>.</w:t>
      </w:r>
    </w:p>
    <w:p w:rsidR="00253459" w:rsidRPr="00D07629" w:rsidRDefault="00D07629" w:rsidP="00D07629">
      <w:pPr>
        <w:ind w:left="360" w:right="-630"/>
        <w:rPr>
          <w:sz w:val="24"/>
          <w:szCs w:val="24"/>
        </w:rPr>
      </w:pPr>
      <w:r>
        <w:rPr>
          <w:b/>
          <w:sz w:val="24"/>
          <w:szCs w:val="24"/>
        </w:rPr>
        <w:t>5.2</w:t>
      </w:r>
      <w:r w:rsidR="00C8528D" w:rsidRPr="00D07629">
        <w:rPr>
          <w:b/>
          <w:sz w:val="24"/>
          <w:szCs w:val="24"/>
        </w:rPr>
        <w:t xml:space="preserve"> </w:t>
      </w:r>
      <w:r w:rsidR="00E805CC" w:rsidRPr="00D07629">
        <w:rPr>
          <w:b/>
          <w:sz w:val="24"/>
          <w:szCs w:val="24"/>
        </w:rPr>
        <w:t xml:space="preserve">Presentation by </w:t>
      </w:r>
      <w:r w:rsidR="009A3281" w:rsidRPr="00D07629">
        <w:rPr>
          <w:b/>
          <w:sz w:val="24"/>
          <w:szCs w:val="24"/>
        </w:rPr>
        <w:t>Consuelo Rubio from the Human Rights Legal Support Centre</w:t>
      </w:r>
    </w:p>
    <w:p w:rsidR="009A3281" w:rsidRDefault="00E805CC" w:rsidP="00D07629">
      <w:pPr>
        <w:pStyle w:val="ListParagraph"/>
        <w:ind w:left="360"/>
      </w:pPr>
      <w:proofErr w:type="spellStart"/>
      <w:r>
        <w:t>Ms</w:t>
      </w:r>
      <w:proofErr w:type="spellEnd"/>
      <w:r>
        <w:t xml:space="preserve"> Rubio explained that the Human Rights Legal Support Centre </w:t>
      </w:r>
      <w:r w:rsidR="009A3281">
        <w:t>can advise and represent applicants who want to bring about a Human Rights complaint</w:t>
      </w:r>
      <w:r>
        <w:t>. She highlighted that it is difficult to negotiate with school boards and to advocate for the student. She shared the following information about their work</w:t>
      </w:r>
      <w:r w:rsidR="00253459">
        <w:t xml:space="preserve"> and gave some examples</w:t>
      </w:r>
      <w:r w:rsidR="00D07629">
        <w:t xml:space="preserve"> of experiences with different school boards</w:t>
      </w:r>
      <w:r w:rsidR="009A3281">
        <w:t>:</w:t>
      </w:r>
    </w:p>
    <w:p w:rsidR="00253459" w:rsidRPr="00253459" w:rsidRDefault="00253459" w:rsidP="00253459">
      <w:pPr>
        <w:pStyle w:val="ListParagraph"/>
        <w:spacing w:before="240"/>
        <w:rPr>
          <w:sz w:val="12"/>
          <w:szCs w:val="12"/>
        </w:rPr>
      </w:pPr>
    </w:p>
    <w:p w:rsidR="009A3281" w:rsidRDefault="009A3281" w:rsidP="00C8528D">
      <w:pPr>
        <w:pStyle w:val="ListParagraph"/>
        <w:numPr>
          <w:ilvl w:val="0"/>
          <w:numId w:val="26"/>
        </w:numPr>
        <w:spacing w:before="0" w:after="240"/>
        <w:ind w:left="720"/>
      </w:pPr>
      <w:r>
        <w:t xml:space="preserve">Exclusion </w:t>
      </w:r>
      <w:r w:rsidR="00D07629">
        <w:t xml:space="preserve">is </w:t>
      </w:r>
      <w:r>
        <w:t xml:space="preserve">a big issue – </w:t>
      </w:r>
      <w:r w:rsidR="00D07629">
        <w:t>The</w:t>
      </w:r>
      <w:r w:rsidR="00DC4ACC">
        <w:t xml:space="preserve"> </w:t>
      </w:r>
      <w:r w:rsidR="00D07629">
        <w:t xml:space="preserve">Support </w:t>
      </w:r>
      <w:r w:rsidR="00DC4ACC">
        <w:t>Centre has the stance that</w:t>
      </w:r>
      <w:r>
        <w:t xml:space="preserve"> students can be accommodate</w:t>
      </w:r>
      <w:r w:rsidR="00253459">
        <w:t>d</w:t>
      </w:r>
      <w:r>
        <w:t xml:space="preserve"> and brought back into the school</w:t>
      </w:r>
      <w:r w:rsidR="00253459">
        <w:t xml:space="preserve">. They want to avoid delay to get the child back into school as quickly as possible. </w:t>
      </w:r>
      <w:r w:rsidR="00DC4ACC">
        <w:t>She gave as an example o</w:t>
      </w:r>
      <w:r w:rsidR="00253459">
        <w:t>ne</w:t>
      </w:r>
      <w:r w:rsidR="00DC4ACC">
        <w:t xml:space="preserve"> successful negotiation </w:t>
      </w:r>
      <w:r w:rsidR="00C8528D">
        <w:t xml:space="preserve">that </w:t>
      </w:r>
      <w:r w:rsidR="00DC4ACC">
        <w:t>involv</w:t>
      </w:r>
      <w:r w:rsidR="00C8528D">
        <w:t>ed</w:t>
      </w:r>
      <w:r w:rsidR="00253459">
        <w:t xml:space="preserve"> a board’s e</w:t>
      </w:r>
      <w:r>
        <w:t xml:space="preserve">xclusion </w:t>
      </w:r>
      <w:r w:rsidR="00DC4ACC">
        <w:t xml:space="preserve">of a child </w:t>
      </w:r>
      <w:r>
        <w:t xml:space="preserve">from transportation </w:t>
      </w:r>
      <w:r w:rsidR="00C8528D">
        <w:t>because it wasn’t</w:t>
      </w:r>
      <w:r>
        <w:t xml:space="preserve"> from a licensed daycare facility</w:t>
      </w:r>
      <w:r w:rsidR="00253459">
        <w:t>.</w:t>
      </w:r>
      <w:r w:rsidR="00C8528D">
        <w:t xml:space="preserve"> She raised the following points:</w:t>
      </w:r>
    </w:p>
    <w:p w:rsidR="00404A61" w:rsidRDefault="00404A61" w:rsidP="00C8528D">
      <w:pPr>
        <w:pStyle w:val="ListParagraph"/>
        <w:numPr>
          <w:ilvl w:val="0"/>
          <w:numId w:val="21"/>
        </w:numPr>
        <w:spacing w:before="0" w:after="240"/>
        <w:ind w:left="1080" w:hanging="270"/>
      </w:pPr>
      <w:r>
        <w:t>Boards are not effective in communicating to parents about steps to taken when a child is excluded from school,</w:t>
      </w:r>
      <w:r w:rsidRPr="00404A61">
        <w:t xml:space="preserve"> </w:t>
      </w:r>
      <w:r>
        <w:t>so there is a gap in the provision of information to parents. She is surprised about how little the parents know – they are bewildered and don’t know what steps to take, so the Legal Support Centre can fill the gap.</w:t>
      </w:r>
    </w:p>
    <w:p w:rsidR="00404A61" w:rsidRDefault="00404A61" w:rsidP="00C8528D">
      <w:pPr>
        <w:pStyle w:val="ListParagraph"/>
        <w:numPr>
          <w:ilvl w:val="0"/>
          <w:numId w:val="21"/>
        </w:numPr>
        <w:spacing w:before="0" w:after="240"/>
        <w:ind w:left="1080" w:hanging="270"/>
      </w:pPr>
      <w:r>
        <w:t>The Centre has</w:t>
      </w:r>
      <w:r w:rsidR="009A3281">
        <w:t xml:space="preserve"> developed a protocol with pointed questions on intake,</w:t>
      </w:r>
      <w:r>
        <w:t xml:space="preserve"> and </w:t>
      </w:r>
      <w:r w:rsidR="00253459">
        <w:t>find</w:t>
      </w:r>
      <w:r>
        <w:t>s</w:t>
      </w:r>
      <w:r w:rsidR="00253459">
        <w:t xml:space="preserve"> that they</w:t>
      </w:r>
      <w:r w:rsidR="009A3281">
        <w:t xml:space="preserve"> can educate the parents</w:t>
      </w:r>
      <w:r w:rsidR="00253459">
        <w:t xml:space="preserve"> at the same time. Examples of questions include </w:t>
      </w:r>
      <w:r w:rsidR="009A3281">
        <w:t>–</w:t>
      </w:r>
      <w:r>
        <w:t xml:space="preserve"> </w:t>
      </w:r>
      <w:r w:rsidR="009A3281">
        <w:t>Did you ask for accommodations</w:t>
      </w:r>
      <w:r w:rsidR="00253459">
        <w:t>? – W</w:t>
      </w:r>
      <w:r w:rsidR="009A3281">
        <w:t>hen</w:t>
      </w:r>
      <w:r w:rsidR="00253459">
        <w:t>?</w:t>
      </w:r>
      <w:r w:rsidR="009A3281">
        <w:t xml:space="preserve"> –</w:t>
      </w:r>
      <w:r w:rsidR="00253459">
        <w:t xml:space="preserve"> Did you ask </w:t>
      </w:r>
      <w:r w:rsidR="009A3281">
        <w:t>in writing or orally</w:t>
      </w:r>
      <w:r w:rsidR="00253459">
        <w:t>? – H</w:t>
      </w:r>
      <w:r w:rsidR="009A3281">
        <w:t>ave you requested an IPRC</w:t>
      </w:r>
      <w:r w:rsidR="00253459">
        <w:t>? – W</w:t>
      </w:r>
      <w:r w:rsidR="009A3281">
        <w:t>as there a psych</w:t>
      </w:r>
      <w:r w:rsidR="00253459">
        <w:t>ological assessment conducted? – D</w:t>
      </w:r>
      <w:r>
        <w:t>id you appeal the IPRC decision? etc.</w:t>
      </w:r>
    </w:p>
    <w:p w:rsidR="00090528" w:rsidRDefault="00090528" w:rsidP="00C8528D">
      <w:pPr>
        <w:pStyle w:val="ListParagraph"/>
        <w:numPr>
          <w:ilvl w:val="0"/>
          <w:numId w:val="21"/>
        </w:numPr>
        <w:spacing w:before="0" w:after="240"/>
        <w:ind w:left="1080" w:hanging="270"/>
      </w:pPr>
      <w:r>
        <w:t>Once they have a more complete picture of the issues involved, t</w:t>
      </w:r>
      <w:r w:rsidR="00C8528D">
        <w:t>he Centre</w:t>
      </w:r>
      <w:r>
        <w:t xml:space="preserve"> look</w:t>
      </w:r>
      <w:r w:rsidR="00C8528D">
        <w:t>s</w:t>
      </w:r>
      <w:r>
        <w:t xml:space="preserve"> at the likelihood of success for the use of different strategies and provide</w:t>
      </w:r>
      <w:r w:rsidR="00C8528D">
        <w:t>s</w:t>
      </w:r>
      <w:r>
        <w:t xml:space="preserve"> advice to parents accordingly.</w:t>
      </w:r>
    </w:p>
    <w:p w:rsidR="00404A61" w:rsidRDefault="00404A61" w:rsidP="00C8528D">
      <w:pPr>
        <w:pStyle w:val="ListParagraph"/>
        <w:numPr>
          <w:ilvl w:val="0"/>
          <w:numId w:val="27"/>
        </w:numPr>
        <w:spacing w:before="0" w:after="240"/>
        <w:ind w:left="1080" w:hanging="270"/>
      </w:pPr>
      <w:r>
        <w:t xml:space="preserve">For </w:t>
      </w:r>
      <w:r w:rsidR="00733989">
        <w:t>‘intense’</w:t>
      </w:r>
      <w:r>
        <w:t xml:space="preserve"> situations, they have an urgent intervention stream to provide parents with a way to negotiate and resolve an issue more quickly and effectively</w:t>
      </w:r>
      <w:r w:rsidR="00733989">
        <w:t>.</w:t>
      </w:r>
      <w:r w:rsidR="00090528">
        <w:t xml:space="preserve"> </w:t>
      </w:r>
    </w:p>
    <w:p w:rsidR="00404A61" w:rsidRPr="00404A61" w:rsidRDefault="00404A61" w:rsidP="00404A61">
      <w:pPr>
        <w:pStyle w:val="ListParagraph"/>
        <w:spacing w:before="0"/>
        <w:ind w:left="1440"/>
        <w:rPr>
          <w:sz w:val="12"/>
          <w:szCs w:val="12"/>
        </w:rPr>
      </w:pPr>
    </w:p>
    <w:p w:rsidR="00253459" w:rsidRDefault="00090528" w:rsidP="00C8528D">
      <w:pPr>
        <w:pStyle w:val="ListParagraph"/>
        <w:numPr>
          <w:ilvl w:val="0"/>
          <w:numId w:val="26"/>
        </w:numPr>
        <w:spacing w:before="0" w:after="240"/>
        <w:ind w:left="720"/>
      </w:pPr>
      <w:r>
        <w:t xml:space="preserve">Invisibility of people with disabilities – </w:t>
      </w:r>
      <w:proofErr w:type="spellStart"/>
      <w:r>
        <w:t>Ms</w:t>
      </w:r>
      <w:proofErr w:type="spellEnd"/>
      <w:r>
        <w:t xml:space="preserve"> Rubio</w:t>
      </w:r>
      <w:r w:rsidR="00253459">
        <w:t xml:space="preserve"> commented from her own employment law background, that people with disabilities are ‘invisible’ and finds this </w:t>
      </w:r>
      <w:r w:rsidR="00404A61">
        <w:t xml:space="preserve">in </w:t>
      </w:r>
      <w:r w:rsidR="00253459">
        <w:t xml:space="preserve">common with </w:t>
      </w:r>
      <w:r w:rsidR="00253459">
        <w:lastRenderedPageBreak/>
        <w:t xml:space="preserve">disabled children, </w:t>
      </w:r>
      <w:r w:rsidR="00404A61">
        <w:t xml:space="preserve">who are </w:t>
      </w:r>
      <w:r w:rsidR="00C8528D">
        <w:t>‘</w:t>
      </w:r>
      <w:r w:rsidR="00253459">
        <w:t>invisible</w:t>
      </w:r>
      <w:r w:rsidR="00C8528D">
        <w:t>’</w:t>
      </w:r>
      <w:r w:rsidR="00253459">
        <w:t xml:space="preserve"> to the board. The challenge is</w:t>
      </w:r>
      <w:r w:rsidR="00404A61">
        <w:t xml:space="preserve"> in how to deal with it. She gave some </w:t>
      </w:r>
      <w:r w:rsidR="00253459">
        <w:t>examples</w:t>
      </w:r>
      <w:r w:rsidR="00404A61">
        <w:t xml:space="preserve"> from around the province:</w:t>
      </w:r>
    </w:p>
    <w:p w:rsidR="009A3281" w:rsidRDefault="00404A61" w:rsidP="00C8528D">
      <w:pPr>
        <w:pStyle w:val="ListParagraph"/>
        <w:numPr>
          <w:ilvl w:val="0"/>
          <w:numId w:val="21"/>
        </w:numPr>
        <w:spacing w:before="0" w:after="240"/>
        <w:ind w:left="1080" w:hanging="270"/>
      </w:pPr>
      <w:r>
        <w:t>A B</w:t>
      </w:r>
      <w:r w:rsidR="009A3281">
        <w:t>oard built a new school</w:t>
      </w:r>
      <w:r>
        <w:t xml:space="preserve">, with accessible washrooms for adults, but </w:t>
      </w:r>
      <w:r w:rsidR="009A3281">
        <w:t>without accessible washrooms for children</w:t>
      </w:r>
    </w:p>
    <w:p w:rsidR="009A3281" w:rsidRDefault="00404A61" w:rsidP="00C8528D">
      <w:pPr>
        <w:pStyle w:val="ListParagraph"/>
        <w:numPr>
          <w:ilvl w:val="0"/>
          <w:numId w:val="21"/>
        </w:numPr>
        <w:spacing w:before="0" w:after="240"/>
        <w:ind w:left="1080" w:hanging="270"/>
      </w:pPr>
      <w:r>
        <w:t>A d</w:t>
      </w:r>
      <w:r w:rsidR="009A3281">
        <w:t xml:space="preserve">isabled child </w:t>
      </w:r>
      <w:r>
        <w:t>went on a</w:t>
      </w:r>
      <w:r w:rsidR="009A3281">
        <w:t xml:space="preserve"> ski trip but due to accessibility</w:t>
      </w:r>
      <w:r>
        <w:t xml:space="preserve"> challenges</w:t>
      </w:r>
      <w:r w:rsidR="009A3281">
        <w:t>, sat in the wheelchair for the outing</w:t>
      </w:r>
      <w:r>
        <w:t xml:space="preserve">. The </w:t>
      </w:r>
      <w:r w:rsidR="009A3281">
        <w:t xml:space="preserve">board did not provide special accommodations to </w:t>
      </w:r>
      <w:r>
        <w:t xml:space="preserve">facilitate the child’s </w:t>
      </w:r>
      <w:r w:rsidR="009A3281">
        <w:t>participat</w:t>
      </w:r>
      <w:r>
        <w:t>ion</w:t>
      </w:r>
    </w:p>
    <w:p w:rsidR="00404A61" w:rsidRDefault="009A3281" w:rsidP="00C8528D">
      <w:pPr>
        <w:pStyle w:val="ListParagraph"/>
        <w:numPr>
          <w:ilvl w:val="0"/>
          <w:numId w:val="21"/>
        </w:numPr>
        <w:spacing w:before="0"/>
        <w:ind w:left="1080" w:hanging="270"/>
      </w:pPr>
      <w:r>
        <w:t xml:space="preserve">Exclusion from school </w:t>
      </w:r>
      <w:r w:rsidR="00404A61">
        <w:t>as a result of disability-related behaviour, with</w:t>
      </w:r>
      <w:r>
        <w:t xml:space="preserve"> no plan for home schooling or follow-up with the child</w:t>
      </w:r>
      <w:r w:rsidR="00404A61">
        <w:t>,</w:t>
      </w:r>
      <w:r>
        <w:t xml:space="preserve"> and parents had no idea what happens next</w:t>
      </w:r>
    </w:p>
    <w:p w:rsidR="009A3281" w:rsidRDefault="00404A61" w:rsidP="00C8528D">
      <w:pPr>
        <w:spacing w:before="0"/>
        <w:ind w:left="720"/>
      </w:pPr>
      <w:r>
        <w:t xml:space="preserve">She referred to </w:t>
      </w:r>
      <w:r w:rsidR="009A3281">
        <w:t>a handbook</w:t>
      </w:r>
      <w:r w:rsidR="00C9508A" w:rsidRPr="00C9508A">
        <w:t xml:space="preserve"> </w:t>
      </w:r>
      <w:r w:rsidR="00C9508A">
        <w:t>published by another legal clinic which they have found useful,</w:t>
      </w:r>
      <w:r w:rsidR="009A3281">
        <w:t xml:space="preserve"> on how to ad</w:t>
      </w:r>
      <w:r>
        <w:t>vocate for your child in school</w:t>
      </w:r>
      <w:r w:rsidR="00C9508A">
        <w:t>. She</w:t>
      </w:r>
      <w:r>
        <w:t xml:space="preserve"> </w:t>
      </w:r>
      <w:r w:rsidR="00C9508A">
        <w:t>agreed to</w:t>
      </w:r>
      <w:r>
        <w:t xml:space="preserve"> email the information to David Lepofsky</w:t>
      </w:r>
      <w:r w:rsidR="00C9508A">
        <w:t>,</w:t>
      </w:r>
      <w:r>
        <w:t xml:space="preserve"> to distribute to SEAC. </w:t>
      </w:r>
    </w:p>
    <w:p w:rsidR="009A3281" w:rsidRDefault="00C9508A" w:rsidP="00C8528D">
      <w:pPr>
        <w:spacing w:before="0"/>
        <w:ind w:left="720"/>
      </w:pPr>
      <w:r>
        <w:t>She commented on the i</w:t>
      </w:r>
      <w:r w:rsidR="009A3281">
        <w:t>mportant role o</w:t>
      </w:r>
      <w:r>
        <w:t>f the principal in the process and wondered</w:t>
      </w:r>
      <w:r w:rsidR="009A3281">
        <w:t xml:space="preserve"> what tools principals </w:t>
      </w:r>
      <w:r>
        <w:t xml:space="preserve">are </w:t>
      </w:r>
      <w:r w:rsidR="009A3281">
        <w:t>being given</w:t>
      </w:r>
      <w:r>
        <w:t>,</w:t>
      </w:r>
      <w:r w:rsidR="009A3281">
        <w:t xml:space="preserve"> so they can play a </w:t>
      </w:r>
      <w:r>
        <w:t xml:space="preserve">more effective </w:t>
      </w:r>
      <w:r w:rsidR="009A3281">
        <w:t xml:space="preserve">role in the lives of </w:t>
      </w:r>
      <w:r>
        <w:t xml:space="preserve">disabled students. She also wondered why </w:t>
      </w:r>
      <w:r w:rsidR="009A3281">
        <w:t xml:space="preserve">the input of the parent </w:t>
      </w:r>
      <w:r>
        <w:t xml:space="preserve">is </w:t>
      </w:r>
      <w:r w:rsidR="009A3281">
        <w:t xml:space="preserve">not valued </w:t>
      </w:r>
      <w:r>
        <w:t>as much as it should be valued.</w:t>
      </w:r>
    </w:p>
    <w:p w:rsidR="009A3281" w:rsidRDefault="00733989" w:rsidP="00C8528D">
      <w:pPr>
        <w:spacing w:before="0"/>
        <w:ind w:left="360"/>
      </w:pPr>
      <w:r>
        <w:t xml:space="preserve">In closing the presentations, </w:t>
      </w:r>
      <w:r w:rsidR="00090528">
        <w:t>David Lepofsky</w:t>
      </w:r>
      <w:r>
        <w:t xml:space="preserve"> r</w:t>
      </w:r>
      <w:r w:rsidR="00C9508A">
        <w:t>equested more information</w:t>
      </w:r>
      <w:r>
        <w:t xml:space="preserve"> from Uton Robinson</w:t>
      </w:r>
      <w:r w:rsidR="00C9508A">
        <w:t xml:space="preserve"> about the tracking of </w:t>
      </w:r>
      <w:r w:rsidR="009A3281">
        <w:t>exclusions</w:t>
      </w:r>
      <w:r w:rsidR="00C9508A">
        <w:t xml:space="preserve">, such as: </w:t>
      </w:r>
      <w:r w:rsidR="009A3281">
        <w:t>How many? To what extent are they students with special education needs?</w:t>
      </w:r>
    </w:p>
    <w:p w:rsidR="00716EAB" w:rsidRDefault="00733989" w:rsidP="0023664D">
      <w:pPr>
        <w:spacing w:before="0"/>
        <w:ind w:left="360" w:right="-180"/>
      </w:pPr>
      <w:r>
        <w:t>Uton Robinson explained</w:t>
      </w:r>
      <w:r w:rsidR="0089419C" w:rsidRPr="0089419C">
        <w:t xml:space="preserve"> </w:t>
      </w:r>
      <w:r w:rsidR="0089419C">
        <w:t xml:space="preserve">that there is current discussion and review by senior team about the use of exclusion. Within families of schools, there is tracking through the principal to the Family of Schools Superintendent, but not a central deposit of the information. </w:t>
      </w:r>
      <w:r>
        <w:t xml:space="preserve">He cautioned that there are issues of confidentiality involved in tracking and monitoring, in order to protect identities. </w:t>
      </w:r>
      <w:r w:rsidR="00C9508A">
        <w:t>He explained that “Refusal to Admit”</w:t>
      </w:r>
      <w:r w:rsidR="00716EAB">
        <w:t xml:space="preserve"> (265.</w:t>
      </w:r>
      <w:r w:rsidR="00FD5EC6">
        <w:t>1</w:t>
      </w:r>
      <w:r w:rsidR="00716EAB">
        <w:t>m)</w:t>
      </w:r>
      <w:r w:rsidR="00C9508A">
        <w:t xml:space="preserve"> is sometimes needed to put </w:t>
      </w:r>
      <w:r w:rsidR="00C8528D">
        <w:t xml:space="preserve">the required </w:t>
      </w:r>
      <w:r w:rsidR="00C9508A">
        <w:t>resources into place for the student</w:t>
      </w:r>
      <w:r w:rsidR="00716EAB" w:rsidRPr="0023664D">
        <w:t>.</w:t>
      </w:r>
      <w:r w:rsidR="00FD5EC6" w:rsidRPr="0023664D">
        <w:t xml:space="preserve"> </w:t>
      </w:r>
      <w:r w:rsidR="0023664D" w:rsidRPr="0023664D">
        <w:rPr>
          <w:rFonts w:cs="Arial"/>
          <w:lang w:val="en-US"/>
        </w:rPr>
        <w:t xml:space="preserve">The SEAC chair commented that </w:t>
      </w:r>
      <w:r w:rsidR="00FD5EC6" w:rsidRPr="0023664D">
        <w:rPr>
          <w:rFonts w:cs="Arial"/>
          <w:lang w:val="en-US"/>
        </w:rPr>
        <w:t xml:space="preserve">confidentiality </w:t>
      </w:r>
      <w:r w:rsidR="0023664D" w:rsidRPr="0023664D">
        <w:rPr>
          <w:rFonts w:cs="Arial"/>
          <w:lang w:val="en-US"/>
        </w:rPr>
        <w:t>can be maintained</w:t>
      </w:r>
      <w:r w:rsidR="00FD5EC6" w:rsidRPr="0023664D">
        <w:rPr>
          <w:rFonts w:cs="Arial"/>
          <w:lang w:val="en-US"/>
        </w:rPr>
        <w:t xml:space="preserve"> in </w:t>
      </w:r>
      <w:r w:rsidR="0023664D" w:rsidRPr="0023664D">
        <w:rPr>
          <w:rFonts w:cs="Arial"/>
          <w:lang w:val="en-US"/>
        </w:rPr>
        <w:t xml:space="preserve">the </w:t>
      </w:r>
      <w:r w:rsidR="00FD5EC6" w:rsidRPr="0023664D">
        <w:rPr>
          <w:rFonts w:cs="Arial"/>
          <w:lang w:val="en-US"/>
        </w:rPr>
        <w:t>collection of a single TDSB-wide figure for numbers of students subject to exclusion, since the total figure does not reveal the identities of any of the children to which it refers.</w:t>
      </w:r>
    </w:p>
    <w:p w:rsidR="009A3281" w:rsidRDefault="00733989" w:rsidP="00C8528D">
      <w:pPr>
        <w:spacing w:before="0"/>
        <w:ind w:left="360"/>
      </w:pPr>
      <w:r>
        <w:t xml:space="preserve">The Chair invited questions for the presenters and the following </w:t>
      </w:r>
      <w:r w:rsidR="00090528">
        <w:t xml:space="preserve">additional </w:t>
      </w:r>
      <w:r>
        <w:t>in</w:t>
      </w:r>
      <w:r w:rsidR="00090528">
        <w:t xml:space="preserve">formation was provided in </w:t>
      </w:r>
      <w:r>
        <w:t>response</w:t>
      </w:r>
      <w:r w:rsidR="00090528">
        <w:t xml:space="preserve">s from </w:t>
      </w:r>
      <w:r w:rsidR="00C8528D">
        <w:t xml:space="preserve">both </w:t>
      </w:r>
      <w:r w:rsidR="00090528">
        <w:t>presenters and staff</w:t>
      </w:r>
      <w:r>
        <w:t>:</w:t>
      </w:r>
    </w:p>
    <w:p w:rsidR="009A3281" w:rsidRDefault="00733989" w:rsidP="00C8528D">
      <w:pPr>
        <w:pStyle w:val="ListParagraph"/>
        <w:numPr>
          <w:ilvl w:val="0"/>
          <w:numId w:val="27"/>
        </w:numPr>
        <w:spacing w:before="0" w:after="240"/>
        <w:ind w:hanging="270"/>
      </w:pPr>
      <w:r>
        <w:t xml:space="preserve">The Provincial Ombudsman </w:t>
      </w:r>
      <w:r w:rsidR="009A3281">
        <w:t>can make recommendations bu</w:t>
      </w:r>
      <w:r>
        <w:t xml:space="preserve">t </w:t>
      </w:r>
      <w:r w:rsidRPr="00090CA5">
        <w:t xml:space="preserve">cannot </w:t>
      </w:r>
      <w:r w:rsidR="00904F06" w:rsidRPr="00090CA5">
        <w:rPr>
          <w:rFonts w:cs="Arial"/>
          <w:lang w:val="en-US"/>
        </w:rPr>
        <w:t>impose</w:t>
      </w:r>
      <w:r w:rsidR="00904F06" w:rsidRPr="00090CA5">
        <w:rPr>
          <w:rFonts w:ascii="Times New Roman" w:hAnsi="Times New Roman"/>
          <w:sz w:val="24"/>
          <w:szCs w:val="24"/>
          <w:lang w:val="en-US"/>
        </w:rPr>
        <w:t xml:space="preserve"> </w:t>
      </w:r>
      <w:r>
        <w:t>a settlement. (</w:t>
      </w:r>
      <w:r w:rsidR="00090528">
        <w:t xml:space="preserve">SEAC Alternate Community Representative </w:t>
      </w:r>
      <w:r>
        <w:t>Dick</w:t>
      </w:r>
      <w:r w:rsidR="00090528">
        <w:t xml:space="preserve"> W</w:t>
      </w:r>
      <w:r>
        <w:t>inters</w:t>
      </w:r>
      <w:r w:rsidR="00090528">
        <w:t xml:space="preserve"> is</w:t>
      </w:r>
      <w:r>
        <w:t xml:space="preserve"> </w:t>
      </w:r>
      <w:r w:rsidR="00090528">
        <w:t>looking into arranging for</w:t>
      </w:r>
      <w:r>
        <w:t xml:space="preserve"> </w:t>
      </w:r>
      <w:r w:rsidR="00090528">
        <w:t xml:space="preserve">a </w:t>
      </w:r>
      <w:r>
        <w:t xml:space="preserve">presenter from </w:t>
      </w:r>
      <w:r w:rsidR="00090528">
        <w:t>the O</w:t>
      </w:r>
      <w:r>
        <w:t>mbudsman</w:t>
      </w:r>
      <w:r w:rsidR="00090528">
        <w:t>’s</w:t>
      </w:r>
      <w:r>
        <w:t xml:space="preserve"> office</w:t>
      </w:r>
      <w:r w:rsidR="00090528">
        <w:t>.</w:t>
      </w:r>
      <w:r>
        <w:t>)</w:t>
      </w:r>
    </w:p>
    <w:p w:rsidR="00733989" w:rsidRDefault="00733989" w:rsidP="00C8528D">
      <w:pPr>
        <w:pStyle w:val="ListParagraph"/>
        <w:numPr>
          <w:ilvl w:val="0"/>
          <w:numId w:val="27"/>
        </w:numPr>
        <w:spacing w:before="0" w:after="240"/>
        <w:ind w:hanging="270"/>
      </w:pPr>
      <w:r>
        <w:t>Spec Ed Tribunals are</w:t>
      </w:r>
      <w:r w:rsidR="009A3281">
        <w:t xml:space="preserve"> adversarial </w:t>
      </w:r>
      <w:r w:rsidR="00090528">
        <w:t>and very difficult for parents</w:t>
      </w:r>
      <w:r w:rsidR="00090CA5">
        <w:t>.</w:t>
      </w:r>
      <w:r w:rsidR="00090528">
        <w:t xml:space="preserve"> </w:t>
      </w:r>
      <w:r w:rsidR="009A3281">
        <w:t xml:space="preserve"> </w:t>
      </w:r>
    </w:p>
    <w:p w:rsidR="00733989" w:rsidRDefault="00090528" w:rsidP="00C8528D">
      <w:pPr>
        <w:pStyle w:val="ListParagraph"/>
        <w:numPr>
          <w:ilvl w:val="0"/>
          <w:numId w:val="27"/>
        </w:numPr>
        <w:spacing w:before="0" w:after="240"/>
        <w:ind w:hanging="270"/>
      </w:pPr>
      <w:r>
        <w:t>A c</w:t>
      </w:r>
      <w:r w:rsidR="009A3281">
        <w:t xml:space="preserve">ase can be taken on by ARCH if </w:t>
      </w:r>
      <w:r>
        <w:t>it involves</w:t>
      </w:r>
      <w:r w:rsidR="00733989">
        <w:t xml:space="preserve"> a </w:t>
      </w:r>
      <w:r w:rsidR="009A3281">
        <w:t xml:space="preserve">systemic issue. </w:t>
      </w:r>
    </w:p>
    <w:p w:rsidR="00733989" w:rsidRDefault="00090528" w:rsidP="00C8528D">
      <w:pPr>
        <w:pStyle w:val="ListParagraph"/>
        <w:numPr>
          <w:ilvl w:val="0"/>
          <w:numId w:val="27"/>
        </w:numPr>
        <w:spacing w:before="0" w:after="240"/>
        <w:ind w:hanging="270"/>
      </w:pPr>
      <w:r>
        <w:t>A</w:t>
      </w:r>
      <w:r w:rsidR="00733989">
        <w:t xml:space="preserve"> Special Education </w:t>
      </w:r>
      <w:r w:rsidR="009A3281">
        <w:t>Tr</w:t>
      </w:r>
      <w:r>
        <w:t>ibunal only addresses placement</w:t>
      </w:r>
      <w:r w:rsidR="00090CA5">
        <w:t>.</w:t>
      </w:r>
      <w:r w:rsidR="009A3281">
        <w:t xml:space="preserve"> </w:t>
      </w:r>
    </w:p>
    <w:p w:rsidR="009A3281" w:rsidRDefault="00090528" w:rsidP="00C8528D">
      <w:pPr>
        <w:pStyle w:val="ListParagraph"/>
        <w:numPr>
          <w:ilvl w:val="0"/>
          <w:numId w:val="27"/>
        </w:numPr>
        <w:spacing w:before="0" w:after="240"/>
        <w:ind w:hanging="270"/>
      </w:pPr>
      <w:r>
        <w:t>I</w:t>
      </w:r>
      <w:r w:rsidR="009A3281">
        <w:t xml:space="preserve">f </w:t>
      </w:r>
      <w:r>
        <w:t>a board does not implement the T</w:t>
      </w:r>
      <w:r w:rsidR="009A3281">
        <w:t>ribunal</w:t>
      </w:r>
      <w:r>
        <w:t>’s</w:t>
      </w:r>
      <w:r w:rsidR="009A3281">
        <w:t xml:space="preserve"> decision, a breach of settlement application</w:t>
      </w:r>
      <w:r>
        <w:t xml:space="preserve"> can be filed</w:t>
      </w:r>
      <w:r w:rsidR="00090CA5">
        <w:t>.</w:t>
      </w:r>
    </w:p>
    <w:p w:rsidR="00090528" w:rsidRDefault="00090528" w:rsidP="00C8528D">
      <w:pPr>
        <w:pStyle w:val="ListParagraph"/>
        <w:numPr>
          <w:ilvl w:val="0"/>
          <w:numId w:val="27"/>
        </w:numPr>
        <w:spacing w:before="0" w:after="240"/>
        <w:ind w:hanging="270"/>
      </w:pPr>
      <w:r>
        <w:t xml:space="preserve">The TDSB reports on numbers of Identification, Placement and Review Committee Appeals and Tribunals in the Special Education Plan, which is posted on the </w:t>
      </w:r>
      <w:r w:rsidR="002F0631">
        <w:t>website</w:t>
      </w:r>
    </w:p>
    <w:p w:rsidR="00090528" w:rsidRDefault="00090528" w:rsidP="00C8528D">
      <w:pPr>
        <w:pStyle w:val="ListParagraph"/>
        <w:numPr>
          <w:ilvl w:val="0"/>
          <w:numId w:val="27"/>
        </w:numPr>
        <w:spacing w:before="0" w:after="240"/>
        <w:ind w:hanging="270"/>
      </w:pPr>
      <w:r>
        <w:t xml:space="preserve">There is public access to case law. </w:t>
      </w:r>
      <w:r w:rsidRPr="00090CA5">
        <w:t>C</w:t>
      </w:r>
      <w:r w:rsidR="00090CA5" w:rsidRPr="00090CA5">
        <w:t>ANLII</w:t>
      </w:r>
      <w:r>
        <w:t xml:space="preserve"> is a</w:t>
      </w:r>
      <w:r w:rsidR="009A3281">
        <w:t xml:space="preserve"> free database of court decisions</w:t>
      </w:r>
      <w:r>
        <w:t>, with</w:t>
      </w:r>
      <w:r w:rsidR="009A3281">
        <w:t xml:space="preserve"> release of </w:t>
      </w:r>
      <w:r>
        <w:t xml:space="preserve">daily </w:t>
      </w:r>
      <w:r w:rsidR="009A3281">
        <w:t>decisions</w:t>
      </w:r>
      <w:r w:rsidR="00090CA5">
        <w:t>.</w:t>
      </w:r>
      <w:r w:rsidR="009A3281">
        <w:t xml:space="preserve"> </w:t>
      </w:r>
    </w:p>
    <w:p w:rsidR="00090528" w:rsidRDefault="00090528" w:rsidP="00C8528D">
      <w:pPr>
        <w:pStyle w:val="ListParagraph"/>
        <w:numPr>
          <w:ilvl w:val="0"/>
          <w:numId w:val="27"/>
        </w:numPr>
        <w:spacing w:before="0" w:after="240"/>
        <w:ind w:hanging="270"/>
      </w:pPr>
      <w:r>
        <w:t>Detailed information about the Appeal and T</w:t>
      </w:r>
      <w:r w:rsidR="009A3281">
        <w:t xml:space="preserve">ribunal processes </w:t>
      </w:r>
      <w:r>
        <w:t xml:space="preserve">is </w:t>
      </w:r>
      <w:r w:rsidR="009A3281">
        <w:t xml:space="preserve">available </w:t>
      </w:r>
      <w:r>
        <w:t>in the TDSB Special Education Guide for Parents/Guardians, posted on the Special Education main page, on the TDSB website.</w:t>
      </w:r>
    </w:p>
    <w:p w:rsidR="009A3281" w:rsidRDefault="009A3281" w:rsidP="00C8528D">
      <w:pPr>
        <w:pStyle w:val="ListParagraph"/>
        <w:numPr>
          <w:ilvl w:val="0"/>
          <w:numId w:val="27"/>
        </w:numPr>
        <w:spacing w:before="0" w:after="240"/>
        <w:ind w:hanging="270"/>
      </w:pPr>
      <w:r>
        <w:t>Some settlements contain confidentiality provisions, insisted on by the respondents for the most part</w:t>
      </w:r>
      <w:r w:rsidR="0089419C">
        <w:t>, rather than the parents</w:t>
      </w:r>
      <w:r w:rsidR="00090CA5">
        <w:t>.</w:t>
      </w:r>
    </w:p>
    <w:p w:rsidR="009A3281" w:rsidRPr="004B68C4" w:rsidRDefault="0089419C" w:rsidP="00C8528D">
      <w:pPr>
        <w:spacing w:before="0" w:after="240"/>
        <w:ind w:left="360"/>
      </w:pPr>
      <w:r>
        <w:lastRenderedPageBreak/>
        <w:t xml:space="preserve">In closing this segment of the meeting and thanking the speakers, David Lepofsky invited their suggestions, based on the kinds of issues they address, for SEAC to consider including in their recommendations to the board. </w:t>
      </w:r>
    </w:p>
    <w:p w:rsidR="009A3281" w:rsidRPr="00C22366" w:rsidRDefault="009A3281" w:rsidP="002018BB">
      <w:pPr>
        <w:pStyle w:val="Heading2"/>
        <w:tabs>
          <w:tab w:val="left" w:pos="360"/>
        </w:tabs>
        <w:ind w:left="360" w:right="-630" w:hanging="360"/>
      </w:pPr>
      <w:r w:rsidRPr="004928EE">
        <w:t>6</w:t>
      </w:r>
      <w:r w:rsidRPr="00C22366">
        <w:t xml:space="preserve">. </w:t>
      </w:r>
      <w:r w:rsidR="002018BB">
        <w:t xml:space="preserve"> </w:t>
      </w:r>
      <w:r w:rsidRPr="004928EE">
        <w:t xml:space="preserve">SEAC Priority 3 </w:t>
      </w:r>
      <w:r>
        <w:t xml:space="preserve">– </w:t>
      </w:r>
      <w:r w:rsidRPr="00C73E04">
        <w:t>What can be done to more effectively make TDSB education fully accessible, barrier-free and inclusive to children with special needs?</w:t>
      </w:r>
    </w:p>
    <w:p w:rsidR="009A3281" w:rsidRDefault="009A3281" w:rsidP="009A3281">
      <w:pPr>
        <w:tabs>
          <w:tab w:val="left" w:pos="720"/>
        </w:tabs>
        <w:ind w:left="720" w:hanging="360"/>
      </w:pPr>
      <w:r w:rsidRPr="00C22366">
        <w:t xml:space="preserve">a) </w:t>
      </w:r>
      <w:r>
        <w:tab/>
      </w:r>
      <w:r w:rsidRPr="00C22366">
        <w:t>Briefing</w:t>
      </w:r>
      <w:r>
        <w:t xml:space="preserve"> by David Lepofsky, SEAC Chair and C</w:t>
      </w:r>
      <w:r w:rsidRPr="00C22366">
        <w:t xml:space="preserve">hair of the Accessibility for Ontarians with Disabilities Act Alliance </w:t>
      </w:r>
    </w:p>
    <w:p w:rsidR="00904A52" w:rsidRDefault="0089419C" w:rsidP="00904A52">
      <w:pPr>
        <w:ind w:left="360"/>
        <w:rPr>
          <w:rStyle w:val="Heading3Char"/>
          <w:rFonts w:ascii="Arial" w:hAnsi="Arial" w:cs="Arial"/>
          <w:b w:val="0"/>
        </w:rPr>
      </w:pPr>
      <w:r>
        <w:t xml:space="preserve">David Lepofsky gave a brief introduction to the focus of this segment of the meeting. </w:t>
      </w:r>
      <w:r w:rsidR="009A3281">
        <w:t>School boards</w:t>
      </w:r>
      <w:r>
        <w:t xml:space="preserve"> and the education system</w:t>
      </w:r>
      <w:r w:rsidR="009A3281">
        <w:t xml:space="preserve"> </w:t>
      </w:r>
      <w:r>
        <w:t xml:space="preserve">are </w:t>
      </w:r>
      <w:r w:rsidR="009A3281">
        <w:t xml:space="preserve">built on </w:t>
      </w:r>
      <w:r>
        <w:t xml:space="preserve">the </w:t>
      </w:r>
      <w:r w:rsidR="009A3281">
        <w:t xml:space="preserve">premise that mainstream class </w:t>
      </w:r>
      <w:r>
        <w:t>is NOT</w:t>
      </w:r>
      <w:r w:rsidR="009A3281">
        <w:t xml:space="preserve"> built for special needs kids, who</w:t>
      </w:r>
      <w:r>
        <w:t xml:space="preserve"> then</w:t>
      </w:r>
      <w:r w:rsidR="009A3281">
        <w:t xml:space="preserve"> have to fight a rear battle</w:t>
      </w:r>
      <w:r>
        <w:t xml:space="preserve"> to get what they need</w:t>
      </w:r>
      <w:r w:rsidR="009A3281">
        <w:t>.</w:t>
      </w:r>
      <w:r w:rsidR="00904A52">
        <w:t xml:space="preserve"> This includes anything from</w:t>
      </w:r>
      <w:r w:rsidR="009A3281">
        <w:t xml:space="preserve"> physical buildings, info</w:t>
      </w:r>
      <w:r w:rsidR="00904A52">
        <w:t>rmation</w:t>
      </w:r>
      <w:r w:rsidR="009A3281">
        <w:t xml:space="preserve"> tech</w:t>
      </w:r>
      <w:r w:rsidR="00904A52">
        <w:t>nology</w:t>
      </w:r>
      <w:r w:rsidR="009A3281">
        <w:t>, curricul</w:t>
      </w:r>
      <w:r w:rsidR="00904A52">
        <w:t>um, playgr</w:t>
      </w:r>
      <w:r w:rsidR="009A3281">
        <w:t>ou</w:t>
      </w:r>
      <w:r w:rsidR="00904A52">
        <w:t>n</w:t>
      </w:r>
      <w:r w:rsidR="009A3281">
        <w:t>d and gym equipment</w:t>
      </w:r>
      <w:r w:rsidR="00904A52">
        <w:t>, etc.</w:t>
      </w:r>
      <w:r w:rsidR="009A3281">
        <w:t xml:space="preserve"> </w:t>
      </w:r>
      <w:r w:rsidR="00904A52">
        <w:t xml:space="preserve">The focus for this part of </w:t>
      </w:r>
      <w:r w:rsidR="00904A52" w:rsidRPr="00904A52">
        <w:t xml:space="preserve">the meeting is on facilities. He introduced the staff present to address this topic with SEAC. They include: </w:t>
      </w:r>
      <w:r w:rsidR="00904A52" w:rsidRPr="00904A52">
        <w:rPr>
          <w:rFonts w:cs="Arial"/>
        </w:rPr>
        <w:t>Angelos Bacopoulos, Associate Director of Education, Facilities and Urban Sustainability</w:t>
      </w:r>
      <w:r w:rsidR="00904A52" w:rsidRPr="00904A52">
        <w:t xml:space="preserve">, </w:t>
      </w:r>
      <w:r w:rsidR="00904A52" w:rsidRPr="00904A52">
        <w:rPr>
          <w:rStyle w:val="Heading3Char"/>
          <w:rFonts w:ascii="Arial" w:hAnsi="Arial" w:cs="Arial"/>
          <w:b w:val="0"/>
        </w:rPr>
        <w:t>David Perceval, Senior Manager Building Design and Renewal</w:t>
      </w:r>
      <w:r w:rsidR="00904A52" w:rsidRPr="00904A52">
        <w:rPr>
          <w:rStyle w:val="Heading3Char"/>
          <w:rFonts w:ascii="Arial" w:eastAsia="Calibri" w:hAnsi="Arial" w:cs="Times New Roman"/>
          <w:b w:val="0"/>
          <w:bCs w:val="0"/>
        </w:rPr>
        <w:t xml:space="preserve"> and </w:t>
      </w:r>
      <w:r w:rsidR="00F0720C" w:rsidRPr="00C22366">
        <w:t>Chris Broadbent, Manager, Occupational Health and Safety and Chair of the TDSB AODA and Accessibility Capital Spending Priorities Com</w:t>
      </w:r>
      <w:r w:rsidR="00F0720C">
        <w:t>mittee</w:t>
      </w:r>
    </w:p>
    <w:p w:rsidR="00904A52" w:rsidRPr="00904A52" w:rsidRDefault="00904A52" w:rsidP="00904A52">
      <w:pPr>
        <w:ind w:left="360"/>
        <w:rPr>
          <w:rStyle w:val="Heading3Char"/>
          <w:rFonts w:ascii="Arial" w:eastAsia="Calibri" w:hAnsi="Arial" w:cs="Times New Roman"/>
          <w:b w:val="0"/>
          <w:bCs w:val="0"/>
        </w:rPr>
      </w:pPr>
      <w:r>
        <w:rPr>
          <w:rStyle w:val="Heading3Char"/>
          <w:rFonts w:ascii="Arial" w:hAnsi="Arial" w:cs="Arial"/>
          <w:b w:val="0"/>
        </w:rPr>
        <w:t xml:space="preserve">Mr. Bacopoulos provided a synopsis of the slide presentations he had provided to SEAC members in advance of the meeting (posted with the agenda on the TDSB SEAC website pages). </w:t>
      </w:r>
      <w:r w:rsidR="00F0720C">
        <w:rPr>
          <w:rStyle w:val="Heading3Char"/>
          <w:rFonts w:ascii="Arial" w:hAnsi="Arial" w:cs="Arial"/>
          <w:b w:val="0"/>
        </w:rPr>
        <w:t>During the subsequent question and answer discussion,</w:t>
      </w:r>
      <w:r>
        <w:rPr>
          <w:rStyle w:val="Heading3Char"/>
          <w:rFonts w:ascii="Arial" w:hAnsi="Arial" w:cs="Arial"/>
          <w:b w:val="0"/>
        </w:rPr>
        <w:t xml:space="preserve"> the following information</w:t>
      </w:r>
      <w:r w:rsidR="00F0720C">
        <w:rPr>
          <w:rStyle w:val="Heading3Char"/>
          <w:rFonts w:ascii="Arial" w:hAnsi="Arial" w:cs="Arial"/>
          <w:b w:val="0"/>
        </w:rPr>
        <w:t xml:space="preserve"> was shared</w:t>
      </w:r>
      <w:r>
        <w:rPr>
          <w:rStyle w:val="Heading3Char"/>
          <w:rFonts w:ascii="Arial" w:hAnsi="Arial" w:cs="Arial"/>
          <w:b w:val="0"/>
        </w:rPr>
        <w:t>:</w:t>
      </w:r>
    </w:p>
    <w:p w:rsidR="00904A52" w:rsidRDefault="00904A52" w:rsidP="00C8528D">
      <w:pPr>
        <w:pStyle w:val="ListParagraph"/>
        <w:numPr>
          <w:ilvl w:val="0"/>
          <w:numId w:val="29"/>
        </w:numPr>
        <w:tabs>
          <w:tab w:val="left" w:pos="720"/>
        </w:tabs>
        <w:ind w:hanging="270"/>
      </w:pPr>
      <w:r>
        <w:t>The f</w:t>
      </w:r>
      <w:r w:rsidR="009A3281">
        <w:t xml:space="preserve">irst </w:t>
      </w:r>
      <w:r>
        <w:t xml:space="preserve">slide presentation shows the capital budget and </w:t>
      </w:r>
      <w:r w:rsidR="009A3281">
        <w:t xml:space="preserve">talks about </w:t>
      </w:r>
      <w:r>
        <w:t xml:space="preserve">the </w:t>
      </w:r>
      <w:r w:rsidR="009A3281">
        <w:t xml:space="preserve">state of </w:t>
      </w:r>
      <w:r>
        <w:t>TDSB schools and the huge challenges</w:t>
      </w:r>
      <w:r w:rsidR="009A3281">
        <w:t xml:space="preserve"> </w:t>
      </w:r>
      <w:r>
        <w:t>in try</w:t>
      </w:r>
      <w:r w:rsidR="009A3281">
        <w:t>ing to dea</w:t>
      </w:r>
      <w:r>
        <w:t>l with crumbling infrastructure. Compared to other boards, TDSB is</w:t>
      </w:r>
      <w:r w:rsidR="009A3281">
        <w:t xml:space="preserve"> in worse shape than all boar</w:t>
      </w:r>
      <w:r>
        <w:t>ds in Ontario and most in the United S</w:t>
      </w:r>
      <w:r w:rsidR="009A3281">
        <w:t xml:space="preserve">tates. </w:t>
      </w:r>
    </w:p>
    <w:p w:rsidR="009A3281" w:rsidRDefault="00904A52" w:rsidP="00C8528D">
      <w:pPr>
        <w:pStyle w:val="ListParagraph"/>
        <w:numPr>
          <w:ilvl w:val="0"/>
          <w:numId w:val="29"/>
        </w:numPr>
        <w:tabs>
          <w:tab w:val="left" w:pos="720"/>
        </w:tabs>
        <w:ind w:hanging="270"/>
      </w:pPr>
      <w:r>
        <w:t>The second presentation by Chris Broadbent</w:t>
      </w:r>
      <w:r w:rsidR="009A3281">
        <w:t xml:space="preserve"> provides an overview of how dollars are being spent</w:t>
      </w:r>
      <w:r>
        <w:t xml:space="preserve"> on improving accessibility. For example, currently </w:t>
      </w:r>
      <w:r w:rsidR="009A3281">
        <w:t>80 of 550</w:t>
      </w:r>
      <w:r>
        <w:t xml:space="preserve"> schools</w:t>
      </w:r>
      <w:r w:rsidR="009A3281">
        <w:t xml:space="preserve"> are accessible</w:t>
      </w:r>
      <w:r>
        <w:t xml:space="preserve"> and TDSB is using current funding to</w:t>
      </w:r>
      <w:r w:rsidR="009A3281">
        <w:t xml:space="preserve"> </w:t>
      </w:r>
      <w:r>
        <w:t>increase</w:t>
      </w:r>
      <w:r w:rsidR="009A3281">
        <w:t xml:space="preserve"> this to 146</w:t>
      </w:r>
      <w:r>
        <w:t xml:space="preserve"> schools</w:t>
      </w:r>
      <w:r w:rsidR="009A3281">
        <w:t>.</w:t>
      </w:r>
    </w:p>
    <w:p w:rsidR="00EB7AA1" w:rsidRDefault="00904A52" w:rsidP="00C8528D">
      <w:pPr>
        <w:pStyle w:val="ListParagraph"/>
        <w:numPr>
          <w:ilvl w:val="0"/>
          <w:numId w:val="29"/>
        </w:numPr>
        <w:tabs>
          <w:tab w:val="left" w:pos="720"/>
        </w:tabs>
        <w:ind w:hanging="270"/>
      </w:pPr>
      <w:r>
        <w:t xml:space="preserve">The </w:t>
      </w:r>
      <w:r w:rsidR="009A3281">
        <w:t>Ministry</w:t>
      </w:r>
      <w:r>
        <w:t xml:space="preserve"> of Education</w:t>
      </w:r>
      <w:r w:rsidR="009A3281">
        <w:t xml:space="preserve"> does not </w:t>
      </w:r>
      <w:r>
        <w:t>provide</w:t>
      </w:r>
      <w:r w:rsidR="009A3281">
        <w:t xml:space="preserve"> </w:t>
      </w:r>
      <w:r w:rsidR="005E2928">
        <w:t xml:space="preserve">specific funding for addressing </w:t>
      </w:r>
      <w:r>
        <w:t>accessibility</w:t>
      </w:r>
      <w:r w:rsidR="005E2928">
        <w:t xml:space="preserve"> issues</w:t>
      </w:r>
      <w:r>
        <w:t>. They provide</w:t>
      </w:r>
      <w:r w:rsidR="009A3281">
        <w:t xml:space="preserve"> a sum of money and certain considerations </w:t>
      </w:r>
      <w:r>
        <w:t xml:space="preserve">that </w:t>
      </w:r>
      <w:r w:rsidR="009A3281">
        <w:t>must be made</w:t>
      </w:r>
      <w:r>
        <w:t xml:space="preserve"> in using it, e.g.</w:t>
      </w:r>
      <w:r w:rsidR="009A3281">
        <w:t xml:space="preserve"> no funding</w:t>
      </w:r>
      <w:r>
        <w:t xml:space="preserve"> is available</w:t>
      </w:r>
      <w:r w:rsidR="009A3281">
        <w:t xml:space="preserve"> for playing fields. </w:t>
      </w:r>
      <w:r>
        <w:t>$</w:t>
      </w:r>
      <w:r w:rsidR="009A3281">
        <w:t xml:space="preserve">90 </w:t>
      </w:r>
      <w:r>
        <w:t>out of</w:t>
      </w:r>
      <w:r w:rsidR="009A3281">
        <w:t xml:space="preserve"> </w:t>
      </w:r>
      <w:r>
        <w:t>$</w:t>
      </w:r>
      <w:r w:rsidR="009A3281">
        <w:t>156 million is restricted to repairs that are</w:t>
      </w:r>
      <w:r>
        <w:t xml:space="preserve"> listed</w:t>
      </w:r>
      <w:r w:rsidR="009A3281">
        <w:t xml:space="preserve"> on the backlog renewal list (</w:t>
      </w:r>
      <w:r w:rsidR="00EB7AA1">
        <w:t>e.g. in the slide presentation, there is a</w:t>
      </w:r>
      <w:r w:rsidR="009A3281">
        <w:t xml:space="preserve"> table showing building components that need to be replaced)</w:t>
      </w:r>
      <w:r w:rsidR="00EB7AA1">
        <w:t>.</w:t>
      </w:r>
      <w:r w:rsidR="009A3281">
        <w:t xml:space="preserve"> Some areas</w:t>
      </w:r>
      <w:r w:rsidR="00EB7AA1">
        <w:t xml:space="preserve"> of funding are</w:t>
      </w:r>
      <w:r w:rsidR="009A3281">
        <w:t xml:space="preserve"> less restrictive</w:t>
      </w:r>
      <w:r w:rsidR="00EB7AA1">
        <w:t xml:space="preserve"> and</w:t>
      </w:r>
      <w:r w:rsidR="009A3281">
        <w:t xml:space="preserve"> allow dealing with barrier-free issues.</w:t>
      </w:r>
    </w:p>
    <w:p w:rsidR="00EB7AA1" w:rsidRDefault="00EB7AA1" w:rsidP="00C8528D">
      <w:pPr>
        <w:pStyle w:val="ListParagraph"/>
        <w:numPr>
          <w:ilvl w:val="0"/>
          <w:numId w:val="29"/>
        </w:numPr>
        <w:tabs>
          <w:tab w:val="left" w:pos="720"/>
        </w:tabs>
        <w:ind w:hanging="270"/>
      </w:pPr>
      <w:r>
        <w:t xml:space="preserve">The </w:t>
      </w:r>
      <w:r w:rsidR="009A3281">
        <w:t xml:space="preserve">Ministry evaluates all schools in Ontario and identifies what </w:t>
      </w:r>
      <w:r w:rsidR="005E2928">
        <w:t xml:space="preserve">building components are </w:t>
      </w:r>
      <w:r w:rsidR="00BD6096">
        <w:t xml:space="preserve">considered as </w:t>
      </w:r>
      <w:r w:rsidR="005E2928">
        <w:t xml:space="preserve">urgent, </w:t>
      </w:r>
      <w:r w:rsidR="009A3281">
        <w:t>high, low or medium priority</w:t>
      </w:r>
      <w:r w:rsidR="005E2928">
        <w:t xml:space="preserve"> for replacement.</w:t>
      </w:r>
      <w:r w:rsidR="009A3281">
        <w:t xml:space="preserve"> </w:t>
      </w:r>
    </w:p>
    <w:p w:rsidR="00EB7AA1" w:rsidRDefault="009A3281" w:rsidP="00C8528D">
      <w:pPr>
        <w:pStyle w:val="ListParagraph"/>
        <w:numPr>
          <w:ilvl w:val="0"/>
          <w:numId w:val="29"/>
        </w:numPr>
        <w:tabs>
          <w:tab w:val="left" w:pos="720"/>
        </w:tabs>
        <w:ind w:hanging="270"/>
      </w:pPr>
      <w:r>
        <w:t>The board will use some discretion and weighs what is</w:t>
      </w:r>
      <w:r w:rsidR="00BD6096">
        <w:t xml:space="preserve"> highest priority (under</w:t>
      </w:r>
      <w:r>
        <w:t xml:space="preserve"> health and safety concerns</w:t>
      </w:r>
      <w:r w:rsidR="00BD6096">
        <w:t>)</w:t>
      </w:r>
      <w:r>
        <w:t xml:space="preserve">, then </w:t>
      </w:r>
      <w:r w:rsidR="00BD6096">
        <w:t>identifies areas</w:t>
      </w:r>
      <w:r>
        <w:t xml:space="preserve"> as urgent</w:t>
      </w:r>
      <w:r w:rsidR="005E2928">
        <w:t xml:space="preserve"> priorities</w:t>
      </w:r>
      <w:r>
        <w:t xml:space="preserve">. </w:t>
      </w:r>
    </w:p>
    <w:p w:rsidR="00EB7AA1" w:rsidRDefault="00EB7AA1" w:rsidP="00C8528D">
      <w:pPr>
        <w:pStyle w:val="ListParagraph"/>
        <w:numPr>
          <w:ilvl w:val="0"/>
          <w:numId w:val="29"/>
        </w:numPr>
        <w:tabs>
          <w:tab w:val="left" w:pos="720"/>
        </w:tabs>
        <w:ind w:hanging="270"/>
      </w:pPr>
      <w:r>
        <w:t xml:space="preserve">Money allocated to build a new school is designated by the Ministry and design is approved by the Ministry, which can also restrict what can be done. </w:t>
      </w:r>
    </w:p>
    <w:p w:rsidR="00EB7AA1" w:rsidRDefault="009A3281" w:rsidP="00C8528D">
      <w:pPr>
        <w:pStyle w:val="ListParagraph"/>
        <w:numPr>
          <w:ilvl w:val="0"/>
          <w:numId w:val="29"/>
        </w:numPr>
        <w:tabs>
          <w:tab w:val="left" w:pos="720"/>
        </w:tabs>
        <w:ind w:hanging="270"/>
      </w:pPr>
      <w:r>
        <w:t>When a new school is being built</w:t>
      </w:r>
      <w:r w:rsidR="00BD6096">
        <w:t>,</w:t>
      </w:r>
      <w:r>
        <w:t xml:space="preserve"> the Ministry provides a separate amount from their capital funding</w:t>
      </w:r>
      <w:r w:rsidR="005E2928">
        <w:t xml:space="preserve"> or approves the TDSB to use funding from its proceeds of disposition</w:t>
      </w:r>
      <w:r w:rsidR="00BD6096">
        <w:t>,</w:t>
      </w:r>
      <w:r w:rsidR="005E2928">
        <w:t xml:space="preserve"> acquired from the sale of surplus properties</w:t>
      </w:r>
      <w:r>
        <w:t>.</w:t>
      </w:r>
    </w:p>
    <w:p w:rsidR="00EB7AA1" w:rsidRDefault="00EB7AA1" w:rsidP="00C8528D">
      <w:pPr>
        <w:pStyle w:val="ListParagraph"/>
        <w:numPr>
          <w:ilvl w:val="0"/>
          <w:numId w:val="29"/>
        </w:numPr>
        <w:tabs>
          <w:tab w:val="left" w:pos="720"/>
        </w:tabs>
        <w:ind w:hanging="270"/>
      </w:pPr>
      <w:r>
        <w:t>The Ministry does not provide a guideline for accessible school design.</w:t>
      </w:r>
      <w:r w:rsidR="009A3281">
        <w:t xml:space="preserve"> </w:t>
      </w:r>
    </w:p>
    <w:p w:rsidR="00EB7AA1" w:rsidRDefault="009A3281" w:rsidP="00C8528D">
      <w:pPr>
        <w:pStyle w:val="ListParagraph"/>
        <w:numPr>
          <w:ilvl w:val="0"/>
          <w:numId w:val="29"/>
        </w:numPr>
        <w:tabs>
          <w:tab w:val="left" w:pos="720"/>
        </w:tabs>
        <w:ind w:hanging="270"/>
      </w:pPr>
      <w:r>
        <w:t xml:space="preserve">In </w:t>
      </w:r>
      <w:r w:rsidR="00EB7AA1">
        <w:t>the TDSB design standards,</w:t>
      </w:r>
      <w:r>
        <w:t xml:space="preserve"> in keeping with policy of inclusiveness</w:t>
      </w:r>
      <w:r w:rsidR="00EB7AA1">
        <w:t xml:space="preserve">, there is a commitment to </w:t>
      </w:r>
      <w:r>
        <w:t>meet or exceed the requirements</w:t>
      </w:r>
      <w:r w:rsidR="005E2928">
        <w:t xml:space="preserve"> of the Ontario Building Code</w:t>
      </w:r>
      <w:r>
        <w:t xml:space="preserve">. </w:t>
      </w:r>
    </w:p>
    <w:p w:rsidR="00EB7AA1" w:rsidRDefault="00EB7AA1" w:rsidP="00C8528D">
      <w:pPr>
        <w:pStyle w:val="ListParagraph"/>
        <w:numPr>
          <w:ilvl w:val="0"/>
          <w:numId w:val="29"/>
        </w:numPr>
        <w:tabs>
          <w:tab w:val="left" w:pos="720"/>
        </w:tabs>
        <w:ind w:hanging="270"/>
      </w:pPr>
      <w:r>
        <w:t>D</w:t>
      </w:r>
      <w:r w:rsidR="009A3281">
        <w:t>ecision</w:t>
      </w:r>
      <w:r>
        <w:t>s</w:t>
      </w:r>
      <w:r w:rsidR="009A3281">
        <w:t xml:space="preserve"> about </w:t>
      </w:r>
      <w:r>
        <w:t xml:space="preserve">declaring </w:t>
      </w:r>
      <w:r w:rsidR="005E2928">
        <w:t xml:space="preserve">school </w:t>
      </w:r>
      <w:r>
        <w:t xml:space="preserve">buildings as </w:t>
      </w:r>
      <w:r w:rsidR="009A3281">
        <w:t xml:space="preserve">surplus to needs </w:t>
      </w:r>
      <w:r>
        <w:t>are based on enrol</w:t>
      </w:r>
      <w:r w:rsidR="009A3281">
        <w:t>ment</w:t>
      </w:r>
      <w:r>
        <w:t xml:space="preserve"> and the ability to support</w:t>
      </w:r>
      <w:r w:rsidR="009A3281">
        <w:t xml:space="preserve"> the </w:t>
      </w:r>
      <w:r w:rsidR="005E2928">
        <w:t>effective and fiscally responsible</w:t>
      </w:r>
      <w:r>
        <w:t xml:space="preserve"> operation of a school. A </w:t>
      </w:r>
      <w:r>
        <w:lastRenderedPageBreak/>
        <w:t xml:space="preserve">building’s </w:t>
      </w:r>
      <w:r w:rsidR="009A3281">
        <w:t>accessib</w:t>
      </w:r>
      <w:r>
        <w:t xml:space="preserve">ility </w:t>
      </w:r>
      <w:r w:rsidR="009A3281">
        <w:t>does not impact</w:t>
      </w:r>
      <w:r>
        <w:t xml:space="preserve"> the decision</w:t>
      </w:r>
      <w:r w:rsidR="009A3281">
        <w:t xml:space="preserve"> unless enrolment can sustain the school. </w:t>
      </w:r>
      <w:r w:rsidR="00F0720C">
        <w:t>There are extensive Board processes used in considering school closures.</w:t>
      </w:r>
    </w:p>
    <w:p w:rsidR="00EB7AA1" w:rsidRDefault="009A3281" w:rsidP="00C8528D">
      <w:pPr>
        <w:pStyle w:val="ListParagraph"/>
        <w:numPr>
          <w:ilvl w:val="0"/>
          <w:numId w:val="29"/>
        </w:numPr>
        <w:tabs>
          <w:tab w:val="left" w:pos="720"/>
        </w:tabs>
        <w:ind w:hanging="270"/>
      </w:pPr>
      <w:r>
        <w:t xml:space="preserve">If doing a </w:t>
      </w:r>
      <w:r w:rsidR="00E4146F">
        <w:t xml:space="preserve">major </w:t>
      </w:r>
      <w:r>
        <w:t xml:space="preserve">renovation, </w:t>
      </w:r>
      <w:r w:rsidR="00EB7AA1">
        <w:t>the TDSB has</w:t>
      </w:r>
      <w:r>
        <w:t xml:space="preserve"> to meet building code </w:t>
      </w:r>
      <w:r w:rsidR="00EB7AA1">
        <w:t>requirements for accessibility.</w:t>
      </w:r>
    </w:p>
    <w:p w:rsidR="009A3281" w:rsidRDefault="00EB7AA1" w:rsidP="00C8528D">
      <w:pPr>
        <w:pStyle w:val="ListParagraph"/>
        <w:numPr>
          <w:ilvl w:val="0"/>
          <w:numId w:val="29"/>
        </w:numPr>
        <w:tabs>
          <w:tab w:val="left" w:pos="720"/>
        </w:tabs>
        <w:ind w:hanging="270"/>
      </w:pPr>
      <w:r>
        <w:t>The b</w:t>
      </w:r>
      <w:r w:rsidR="009A3281">
        <w:t>iggest challenge is trying to make the rest of the school accessible</w:t>
      </w:r>
      <w:r>
        <w:t xml:space="preserve"> when </w:t>
      </w:r>
      <w:r w:rsidR="00E4146F">
        <w:t xml:space="preserve">the construction of an addition </w:t>
      </w:r>
      <w:r>
        <w:t>takes place</w:t>
      </w:r>
      <w:r w:rsidR="009A3281">
        <w:t xml:space="preserve"> – if </w:t>
      </w:r>
      <w:r>
        <w:t xml:space="preserve">any part of the rest of the school is </w:t>
      </w:r>
      <w:proofErr w:type="gramStart"/>
      <w:r>
        <w:t>renovated,</w:t>
      </w:r>
      <w:proofErr w:type="gramEnd"/>
      <w:r>
        <w:t xml:space="preserve"> TDSB has to </w:t>
      </w:r>
      <w:r w:rsidR="009A3281">
        <w:t xml:space="preserve">meet all the </w:t>
      </w:r>
      <w:r>
        <w:t xml:space="preserve">new </w:t>
      </w:r>
      <w:r w:rsidR="009A3281">
        <w:t>building code requirements</w:t>
      </w:r>
      <w:r w:rsidR="00E4146F">
        <w:t xml:space="preserve"> for the rest of the building which would result in a significant cost to the TDSB</w:t>
      </w:r>
      <w:r w:rsidR="009A3281">
        <w:t>.</w:t>
      </w:r>
    </w:p>
    <w:p w:rsidR="00EB7AA1" w:rsidRDefault="00EB7AA1" w:rsidP="00C8528D">
      <w:pPr>
        <w:pStyle w:val="ListParagraph"/>
        <w:numPr>
          <w:ilvl w:val="0"/>
          <w:numId w:val="29"/>
        </w:numPr>
        <w:tabs>
          <w:tab w:val="left" w:pos="720"/>
        </w:tabs>
        <w:ind w:hanging="270"/>
      </w:pPr>
      <w:r>
        <w:t xml:space="preserve">There is a $ 3.3 billion </w:t>
      </w:r>
      <w:r w:rsidR="00DB2E6E">
        <w:t xml:space="preserve">renewal needs </w:t>
      </w:r>
      <w:r>
        <w:t>backlog</w:t>
      </w:r>
      <w:r w:rsidR="00DB2E6E">
        <w:t>, without bringing all facilities up to full accessibility</w:t>
      </w:r>
    </w:p>
    <w:p w:rsidR="009A3281" w:rsidRDefault="00DB2E6E" w:rsidP="00C8528D">
      <w:pPr>
        <w:pStyle w:val="ListParagraph"/>
        <w:numPr>
          <w:ilvl w:val="0"/>
          <w:numId w:val="29"/>
        </w:numPr>
        <w:tabs>
          <w:tab w:val="left" w:pos="720"/>
        </w:tabs>
        <w:ind w:hanging="270"/>
      </w:pPr>
      <w:r>
        <w:t>$</w:t>
      </w:r>
      <w:r w:rsidR="009A3281">
        <w:t xml:space="preserve">5 million </w:t>
      </w:r>
      <w:r>
        <w:t xml:space="preserve">is allocated from </w:t>
      </w:r>
      <w:r w:rsidR="00E4146F">
        <w:t xml:space="preserve">the capital </w:t>
      </w:r>
      <w:r>
        <w:t>renewal</w:t>
      </w:r>
      <w:r w:rsidR="009A3281">
        <w:t xml:space="preserve"> </w:t>
      </w:r>
      <w:r w:rsidR="00E4146F">
        <w:t xml:space="preserve">budget in 2015/16 </w:t>
      </w:r>
      <w:r w:rsidR="009A3281">
        <w:t xml:space="preserve">to deal with </w:t>
      </w:r>
      <w:r>
        <w:t xml:space="preserve">barrier free </w:t>
      </w:r>
      <w:r w:rsidR="00E4146F">
        <w:t>issues</w:t>
      </w:r>
      <w:r>
        <w:t xml:space="preserve"> (e.g. adding door openers, ramps</w:t>
      </w:r>
      <w:r w:rsidR="009A3281">
        <w:t xml:space="preserve"> to </w:t>
      </w:r>
      <w:r>
        <w:t>facilitate</w:t>
      </w:r>
      <w:r w:rsidR="009A3281">
        <w:t xml:space="preserve"> </w:t>
      </w:r>
      <w:r>
        <w:t>building access, miscellaneous e</w:t>
      </w:r>
      <w:r w:rsidR="009A3281">
        <w:t>nd of the year requests to address specific needs of</w:t>
      </w:r>
      <w:r>
        <w:t xml:space="preserve"> students already in a building)</w:t>
      </w:r>
    </w:p>
    <w:p w:rsidR="009A3281" w:rsidRDefault="00DB2E6E" w:rsidP="00C8528D">
      <w:pPr>
        <w:pStyle w:val="ListParagraph"/>
        <w:numPr>
          <w:ilvl w:val="0"/>
          <w:numId w:val="29"/>
        </w:numPr>
        <w:tabs>
          <w:tab w:val="left" w:pos="720"/>
        </w:tabs>
        <w:ind w:hanging="270"/>
      </w:pPr>
      <w:r>
        <w:t xml:space="preserve">Regarding accommodations for students when </w:t>
      </w:r>
      <w:r w:rsidR="009A3281">
        <w:t>IEPs indicate issues around accessibility</w:t>
      </w:r>
      <w:r>
        <w:t xml:space="preserve">, the principal works with staff on those facility issues that can be addressed locally </w:t>
      </w:r>
      <w:r w:rsidR="009A3281">
        <w:t>and will connect with central staff about need</w:t>
      </w:r>
      <w:r>
        <w:t xml:space="preserve">s. Every case looks different. Central staff </w:t>
      </w:r>
      <w:r w:rsidR="009A3281">
        <w:t>work</w:t>
      </w:r>
      <w:r w:rsidR="00E4146F">
        <w:t>s</w:t>
      </w:r>
      <w:r w:rsidR="009A3281">
        <w:t xml:space="preserve"> with principals</w:t>
      </w:r>
      <w:r>
        <w:t>,</w:t>
      </w:r>
      <w:r w:rsidR="009A3281">
        <w:t xml:space="preserve"> </w:t>
      </w:r>
      <w:r>
        <w:t>identifying</w:t>
      </w:r>
      <w:r w:rsidR="009A3281">
        <w:t xml:space="preserve"> what </w:t>
      </w:r>
      <w:r>
        <w:t>the</w:t>
      </w:r>
      <w:r w:rsidR="009A3281">
        <w:t xml:space="preserve"> child </w:t>
      </w:r>
      <w:r>
        <w:t xml:space="preserve">needs </w:t>
      </w:r>
      <w:r w:rsidR="009A3281">
        <w:t xml:space="preserve">and whether accommodations </w:t>
      </w:r>
      <w:r>
        <w:t>can be managed in the school. They also identify options (e.g.</w:t>
      </w:r>
      <w:r w:rsidR="00BD6096">
        <w:t xml:space="preserve"> d</w:t>
      </w:r>
      <w:r w:rsidR="009A3281">
        <w:t xml:space="preserve">oes </w:t>
      </w:r>
      <w:r>
        <w:t xml:space="preserve">a </w:t>
      </w:r>
      <w:r w:rsidR="009A3281">
        <w:t>science experiment have to take place in the 3</w:t>
      </w:r>
      <w:r w:rsidR="009A3281" w:rsidRPr="00DB2E6E">
        <w:rPr>
          <w:vertAlign w:val="superscript"/>
        </w:rPr>
        <w:t>rd</w:t>
      </w:r>
      <w:r>
        <w:t xml:space="preserve"> floor lab</w:t>
      </w:r>
      <w:r w:rsidR="00E4146F">
        <w:t xml:space="preserve"> or are there other solutions</w:t>
      </w:r>
      <w:r w:rsidR="00BD6096">
        <w:t>.</w:t>
      </w:r>
      <w:r>
        <w:t>) S</w:t>
      </w:r>
      <w:r w:rsidR="009A3281">
        <w:t>taff</w:t>
      </w:r>
      <w:r>
        <w:t xml:space="preserve"> requests for accommodations are worked through with Employee S</w:t>
      </w:r>
      <w:r w:rsidR="009A3281">
        <w:t xml:space="preserve">ervices to identify </w:t>
      </w:r>
      <w:r w:rsidR="00E4146F">
        <w:t xml:space="preserve">an </w:t>
      </w:r>
      <w:r w:rsidR="009A3281">
        <w:t xml:space="preserve">accommodation plan. </w:t>
      </w:r>
    </w:p>
    <w:p w:rsidR="009A3281" w:rsidRDefault="00F0720C" w:rsidP="00C8528D">
      <w:pPr>
        <w:pStyle w:val="ListParagraph"/>
        <w:numPr>
          <w:ilvl w:val="0"/>
          <w:numId w:val="29"/>
        </w:numPr>
        <w:tabs>
          <w:tab w:val="left" w:pos="720"/>
        </w:tabs>
        <w:ind w:hanging="270"/>
      </w:pPr>
      <w:r>
        <w:t>TDSB has a</w:t>
      </w:r>
      <w:r w:rsidR="009A3281">
        <w:t xml:space="preserve"> process</w:t>
      </w:r>
      <w:r>
        <w:t xml:space="preserve"> for giving supports. P</w:t>
      </w:r>
      <w:r w:rsidR="009A3281">
        <w:t>rincipals are informed about accessibility</w:t>
      </w:r>
      <w:r>
        <w:t xml:space="preserve"> requirements</w:t>
      </w:r>
      <w:r w:rsidR="009A3281">
        <w:t>. If parents have an issue about</w:t>
      </w:r>
      <w:r>
        <w:t xml:space="preserve"> how it is handled, there is a Parent Concern P</w:t>
      </w:r>
      <w:r w:rsidR="009A3281">
        <w:t>rotocol for addressing th</w:t>
      </w:r>
      <w:r>
        <w:t>eir concerns</w:t>
      </w:r>
      <w:r w:rsidR="009A3281">
        <w:t>.</w:t>
      </w:r>
    </w:p>
    <w:p w:rsidR="00090CA5" w:rsidRDefault="00F0720C" w:rsidP="00090CA5">
      <w:pPr>
        <w:ind w:left="360"/>
      </w:pPr>
      <w:r>
        <w:t>SEAC Chair David Lepofsky drew the discussion to a close</w:t>
      </w:r>
      <w:r w:rsidR="0023664D">
        <w:t xml:space="preserve">, making the following comments: </w:t>
      </w:r>
    </w:p>
    <w:p w:rsidR="00090CA5" w:rsidRDefault="009A3281" w:rsidP="00090CA5">
      <w:pPr>
        <w:pStyle w:val="ListParagraph"/>
        <w:numPr>
          <w:ilvl w:val="0"/>
          <w:numId w:val="31"/>
        </w:numPr>
        <w:ind w:hanging="270"/>
      </w:pPr>
      <w:r>
        <w:t>80</w:t>
      </w:r>
      <w:r w:rsidR="00F0720C">
        <w:t xml:space="preserve"> accessible schools out</w:t>
      </w:r>
      <w:r>
        <w:t xml:space="preserve"> of 550</w:t>
      </w:r>
      <w:r w:rsidR="00D07629">
        <w:t xml:space="preserve"> </w:t>
      </w:r>
      <w:proofErr w:type="gramStart"/>
      <w:r w:rsidR="00D07629">
        <w:t>is</w:t>
      </w:r>
      <w:proofErr w:type="gramEnd"/>
      <w:r w:rsidR="00D07629">
        <w:t xml:space="preserve"> unacceptable</w:t>
      </w:r>
      <w:bookmarkStart w:id="0" w:name="_GoBack"/>
      <w:bookmarkEnd w:id="0"/>
      <w:r w:rsidR="00F0720C">
        <w:t xml:space="preserve"> and planned improvement to 146</w:t>
      </w:r>
      <w:r>
        <w:t xml:space="preserve"> is good. </w:t>
      </w:r>
      <w:r w:rsidR="00F0720C">
        <w:t>It is i</w:t>
      </w:r>
      <w:r>
        <w:t xml:space="preserve">mportant that accessibility be a key factor in decisions around where money is being spent. </w:t>
      </w:r>
    </w:p>
    <w:p w:rsidR="00090CA5" w:rsidRPr="00090CA5" w:rsidRDefault="00090CA5" w:rsidP="00090CA5">
      <w:pPr>
        <w:pStyle w:val="ListParagraph"/>
        <w:numPr>
          <w:ilvl w:val="0"/>
          <w:numId w:val="31"/>
        </w:numPr>
        <w:ind w:hanging="270"/>
      </w:pPr>
      <w:r w:rsidRPr="00090CA5">
        <w:rPr>
          <w:rFonts w:cs="Arial"/>
          <w:lang w:val="en-US"/>
        </w:rPr>
        <w:t xml:space="preserve">TDSB should weigh accessibility when deciding which schools it will close, so that it does not close a more accessible school in </w:t>
      </w:r>
      <w:proofErr w:type="spellStart"/>
      <w:r w:rsidRPr="00090CA5">
        <w:rPr>
          <w:rFonts w:cs="Arial"/>
          <w:lang w:val="en-US"/>
        </w:rPr>
        <w:t>favour</w:t>
      </w:r>
      <w:proofErr w:type="spellEnd"/>
      <w:r w:rsidRPr="00090CA5">
        <w:rPr>
          <w:rFonts w:cs="Arial"/>
          <w:lang w:val="en-US"/>
        </w:rPr>
        <w:t xml:space="preserve"> of leaving open a less accessible one.</w:t>
      </w:r>
    </w:p>
    <w:p w:rsidR="00090CA5" w:rsidRPr="00090CA5" w:rsidRDefault="009A3281" w:rsidP="00090CA5">
      <w:pPr>
        <w:pStyle w:val="ListParagraph"/>
        <w:numPr>
          <w:ilvl w:val="0"/>
          <w:numId w:val="31"/>
        </w:numPr>
        <w:ind w:hanging="270"/>
      </w:pPr>
      <w:r w:rsidRPr="00090CA5">
        <w:t>There is a need for the board to develop clear guidelines</w:t>
      </w:r>
      <w:r w:rsidR="00F0720C" w:rsidRPr="00090CA5">
        <w:t xml:space="preserve"> on accessibility standards,</w:t>
      </w:r>
      <w:r w:rsidRPr="00090CA5">
        <w:t xml:space="preserve"> beyond the building code. </w:t>
      </w:r>
      <w:r w:rsidR="00090CA5" w:rsidRPr="00090CA5">
        <w:rPr>
          <w:rFonts w:cs="Arial"/>
          <w:lang w:val="en-US"/>
        </w:rPr>
        <w:t>The Ontario Building code does not ensure that a new building is fully accessible and there is a need for a single standard for an accessible school building.</w:t>
      </w:r>
    </w:p>
    <w:p w:rsidR="00090CA5" w:rsidRPr="00090CA5" w:rsidRDefault="009A3281" w:rsidP="00090CA5">
      <w:pPr>
        <w:pStyle w:val="ListParagraph"/>
        <w:numPr>
          <w:ilvl w:val="0"/>
          <w:numId w:val="31"/>
        </w:numPr>
        <w:spacing w:after="240"/>
        <w:ind w:hanging="270"/>
      </w:pPr>
      <w:r w:rsidRPr="00090CA5">
        <w:t xml:space="preserve">Up to this meeting, SEAC has </w:t>
      </w:r>
      <w:r w:rsidR="00F0720C" w:rsidRPr="00090CA5">
        <w:t>focussed</w:t>
      </w:r>
      <w:r w:rsidRPr="00090CA5">
        <w:t xml:space="preserve"> </w:t>
      </w:r>
      <w:r w:rsidR="00F0720C" w:rsidRPr="00090CA5">
        <w:t>on</w:t>
      </w:r>
      <w:r w:rsidRPr="00090CA5">
        <w:t xml:space="preserve"> special ed</w:t>
      </w:r>
      <w:r w:rsidR="00F0720C" w:rsidRPr="00090CA5">
        <w:t>ucation in a separate silo</w:t>
      </w:r>
      <w:r w:rsidRPr="00090CA5">
        <w:t xml:space="preserve"> and we would like to bring </w:t>
      </w:r>
      <w:r w:rsidR="00F0720C" w:rsidRPr="00090CA5">
        <w:t xml:space="preserve">the </w:t>
      </w:r>
      <w:r w:rsidRPr="00090CA5">
        <w:t>silos of accessib</w:t>
      </w:r>
      <w:r w:rsidR="00F0720C" w:rsidRPr="00090CA5">
        <w:t>i</w:t>
      </w:r>
      <w:r w:rsidRPr="00090CA5">
        <w:t>lity and special education together.</w:t>
      </w:r>
      <w:r w:rsidR="00B84871" w:rsidRPr="00090CA5">
        <w:t xml:space="preserve"> </w:t>
      </w:r>
    </w:p>
    <w:p w:rsidR="00D42BEF" w:rsidRPr="00D42BEF" w:rsidRDefault="009A3281" w:rsidP="00B84871">
      <w:pPr>
        <w:rPr>
          <w:b/>
        </w:rPr>
      </w:pPr>
      <w:r w:rsidRPr="00D42BEF">
        <w:rPr>
          <w:b/>
        </w:rPr>
        <w:t>Other Business (Time Permitting)</w:t>
      </w:r>
    </w:p>
    <w:p w:rsidR="00D42BEF" w:rsidRDefault="00D42BEF" w:rsidP="00090CA5">
      <w:pPr>
        <w:tabs>
          <w:tab w:val="left" w:pos="720"/>
        </w:tabs>
      </w:pPr>
      <w:r>
        <w:t xml:space="preserve">Chair David </w:t>
      </w:r>
      <w:proofErr w:type="spellStart"/>
      <w:r>
        <w:t>Lepofsky</w:t>
      </w:r>
      <w:proofErr w:type="spellEnd"/>
      <w:r>
        <w:t xml:space="preserve"> gave a brief update:</w:t>
      </w:r>
    </w:p>
    <w:p w:rsidR="00D42BEF" w:rsidRDefault="00D42BEF" w:rsidP="00D42BEF">
      <w:pPr>
        <w:pStyle w:val="ListParagraph"/>
        <w:numPr>
          <w:ilvl w:val="0"/>
          <w:numId w:val="22"/>
        </w:numPr>
        <w:ind w:hanging="270"/>
      </w:pPr>
      <w:r>
        <w:t xml:space="preserve">The Parent Outreach Working Group has been working on a draft survey, which is still too long. The group will have a conference call before the April meeting to review and further develop the draft </w:t>
      </w:r>
    </w:p>
    <w:p w:rsidR="00D42BEF" w:rsidRDefault="00D42BEF" w:rsidP="00D42BEF">
      <w:pPr>
        <w:pStyle w:val="ListParagraph"/>
        <w:numPr>
          <w:ilvl w:val="0"/>
          <w:numId w:val="22"/>
        </w:numPr>
        <w:ind w:hanging="270"/>
      </w:pPr>
      <w:r>
        <w:t xml:space="preserve">He is looking for an alternate June meeting date since his schedule does not permit his attending the planned date. Liaison Margo Ratsep undertook to investigate other available meeting dates for the June meeting. </w:t>
      </w:r>
    </w:p>
    <w:p w:rsidR="00D42BEF" w:rsidRDefault="00D42BEF" w:rsidP="00D42BEF">
      <w:pPr>
        <w:pStyle w:val="ListParagraph"/>
        <w:numPr>
          <w:ilvl w:val="0"/>
          <w:numId w:val="22"/>
        </w:numPr>
        <w:ind w:hanging="270"/>
      </w:pPr>
      <w:r>
        <w:t xml:space="preserve">He thanked Executive Superintendent Beth Butcher for her flexibility in seeking consultation through email, with SEAC on the Concussion Policy. </w:t>
      </w:r>
    </w:p>
    <w:p w:rsidR="00D42BEF" w:rsidRDefault="00D42BEF" w:rsidP="00D42BEF">
      <w:pPr>
        <w:pStyle w:val="ListParagraph"/>
        <w:numPr>
          <w:ilvl w:val="0"/>
          <w:numId w:val="22"/>
        </w:numPr>
        <w:ind w:hanging="270"/>
      </w:pPr>
      <w:r>
        <w:t>Members are to email David with ideas for future agendas.</w:t>
      </w:r>
    </w:p>
    <w:p w:rsidR="009A3281" w:rsidRPr="00D42BEF" w:rsidRDefault="00D42BEF" w:rsidP="00D42BEF">
      <w:pPr>
        <w:tabs>
          <w:tab w:val="left" w:pos="720"/>
        </w:tabs>
        <w:ind w:left="360"/>
      </w:pPr>
      <w:r>
        <w:lastRenderedPageBreak/>
        <w:t>Coordinating Superintendent Ian Allison responded to a question from ABC representative Diana Avon about the proposed new screening process for Giftedness, confirming that external assessment will still be accepted.</w:t>
      </w:r>
      <w:bookmarkStart w:id="1" w:name="Start"/>
      <w:bookmarkStart w:id="2" w:name="Complete"/>
      <w:bookmarkEnd w:id="1"/>
      <w:bookmarkEnd w:id="2"/>
    </w:p>
    <w:p w:rsidR="00D42BEF" w:rsidRPr="00D42BEF" w:rsidRDefault="009A3281" w:rsidP="009A3281">
      <w:pPr>
        <w:pStyle w:val="ListParagraph"/>
        <w:numPr>
          <w:ilvl w:val="0"/>
          <w:numId w:val="19"/>
        </w:numPr>
        <w:spacing w:before="240"/>
        <w:ind w:left="360"/>
        <w:rPr>
          <w:b/>
          <w:bCs/>
        </w:rPr>
      </w:pPr>
      <w:r w:rsidRPr="004928EE">
        <w:rPr>
          <w:b/>
        </w:rPr>
        <w:t xml:space="preserve">Adjournment </w:t>
      </w:r>
      <w:r>
        <w:rPr>
          <w:b/>
        </w:rPr>
        <w:t xml:space="preserve"> </w:t>
      </w:r>
    </w:p>
    <w:p w:rsidR="009A3281" w:rsidRPr="002018BB" w:rsidRDefault="00D42BEF" w:rsidP="002018BB">
      <w:pPr>
        <w:ind w:left="360"/>
        <w:rPr>
          <w:rStyle w:val="Heading2Char"/>
          <w:rFonts w:eastAsia="Calibri" w:cs="Times New Roman"/>
          <w:b w:val="0"/>
          <w:sz w:val="22"/>
          <w:szCs w:val="22"/>
        </w:rPr>
      </w:pPr>
      <w:r w:rsidRPr="00D42BEF">
        <w:t>The meeting adjourned at 9</w:t>
      </w:r>
      <w:r w:rsidR="00A817E4">
        <w:t>:01 on motion of Paula Boutis. C</w:t>
      </w:r>
      <w:r w:rsidRPr="00D42BEF">
        <w:t>hair David Lepofsky invited members to arrive 15 minutes early at meetings for to enjoy an opportunity to socialize.</w:t>
      </w:r>
      <w:r w:rsidR="009A3281" w:rsidRPr="00D42BEF">
        <w:t xml:space="preserve"> </w:t>
      </w:r>
    </w:p>
    <w:p w:rsidR="009A3281" w:rsidRPr="00DD4EAC" w:rsidRDefault="009A3281" w:rsidP="009A3281">
      <w:pPr>
        <w:spacing w:before="240"/>
        <w:rPr>
          <w:b/>
        </w:rPr>
      </w:pPr>
      <w:r w:rsidRPr="00E816AB">
        <w:rPr>
          <w:rStyle w:val="Heading2Char"/>
        </w:rPr>
        <w:t>Next Meeting:</w:t>
      </w:r>
      <w:r w:rsidRPr="001416A6">
        <w:rPr>
          <w:b/>
        </w:rPr>
        <w:t xml:space="preserve">  </w:t>
      </w:r>
      <w:r w:rsidRPr="00EA5729">
        <w:rPr>
          <w:b/>
          <w:u w:val="single"/>
        </w:rPr>
        <w:t>Tuesday</w:t>
      </w:r>
      <w:r>
        <w:rPr>
          <w:b/>
        </w:rPr>
        <w:t xml:space="preserve"> </w:t>
      </w:r>
      <w:r>
        <w:t>April 5, 2016</w:t>
      </w:r>
    </w:p>
    <w:p w:rsidR="00C72F9A" w:rsidRDefault="00C72F9A">
      <w:pPr>
        <w:spacing w:before="0" w:after="200" w:line="276" w:lineRule="auto"/>
      </w:pPr>
    </w:p>
    <w:sectPr w:rsidR="00C72F9A" w:rsidSect="00326D8E">
      <w:headerReference w:type="even" r:id="rId9"/>
      <w:footerReference w:type="default" r:id="rId10"/>
      <w:headerReference w:type="first" r:id="rId11"/>
      <w:pgSz w:w="12240" w:h="15840"/>
      <w:pgMar w:top="900" w:right="1440" w:bottom="1440" w:left="1440" w:header="450" w:footer="4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48" w:rsidRDefault="00DB4E48" w:rsidP="00862DFD">
      <w:pPr>
        <w:spacing w:after="0"/>
      </w:pPr>
      <w:r>
        <w:separator/>
      </w:r>
    </w:p>
  </w:endnote>
  <w:endnote w:type="continuationSeparator" w:id="0">
    <w:p w:rsidR="00DB4E48" w:rsidRDefault="00DB4E48" w:rsidP="00862DFD">
      <w:pPr>
        <w:spacing w:after="0"/>
      </w:pPr>
      <w:r>
        <w:continuationSeparator/>
      </w:r>
    </w:p>
  </w:endnote>
  <w:endnote w:type="continuationNotice" w:id="1">
    <w:p w:rsidR="00DB4E48" w:rsidRDefault="00DB4E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3099"/>
      <w:docPartObj>
        <w:docPartGallery w:val="Page Numbers (Bottom of Page)"/>
        <w:docPartUnique/>
      </w:docPartObj>
    </w:sdtPr>
    <w:sdtEndPr/>
    <w:sdtContent>
      <w:sdt>
        <w:sdtPr>
          <w:id w:val="860082579"/>
          <w:docPartObj>
            <w:docPartGallery w:val="Page Numbers (Top of Page)"/>
            <w:docPartUnique/>
          </w:docPartObj>
        </w:sdtPr>
        <w:sdtEndPr/>
        <w:sdtContent>
          <w:p w:rsidR="00C8528D" w:rsidRDefault="00C8528D">
            <w:pPr>
              <w:pStyle w:val="Footer"/>
              <w:jc w:val="right"/>
            </w:pPr>
            <w:r w:rsidRPr="00326D8E">
              <w:t xml:space="preserve">Page </w:t>
            </w:r>
            <w:r w:rsidRPr="00326D8E">
              <w:rPr>
                <w:bCs/>
                <w:sz w:val="24"/>
                <w:szCs w:val="24"/>
              </w:rPr>
              <w:fldChar w:fldCharType="begin"/>
            </w:r>
            <w:r w:rsidRPr="00326D8E">
              <w:rPr>
                <w:bCs/>
              </w:rPr>
              <w:instrText xml:space="preserve"> PAGE </w:instrText>
            </w:r>
            <w:r w:rsidRPr="00326D8E">
              <w:rPr>
                <w:bCs/>
                <w:sz w:val="24"/>
                <w:szCs w:val="24"/>
              </w:rPr>
              <w:fldChar w:fldCharType="separate"/>
            </w:r>
            <w:r w:rsidR="003926CF">
              <w:rPr>
                <w:bCs/>
                <w:noProof/>
              </w:rPr>
              <w:t>2</w:t>
            </w:r>
            <w:r w:rsidRPr="00326D8E">
              <w:rPr>
                <w:bCs/>
                <w:sz w:val="24"/>
                <w:szCs w:val="24"/>
              </w:rPr>
              <w:fldChar w:fldCharType="end"/>
            </w:r>
            <w:r w:rsidRPr="00326D8E">
              <w:t xml:space="preserve"> of </w:t>
            </w:r>
            <w:r w:rsidRPr="00326D8E">
              <w:rPr>
                <w:bCs/>
                <w:sz w:val="24"/>
                <w:szCs w:val="24"/>
              </w:rPr>
              <w:fldChar w:fldCharType="begin"/>
            </w:r>
            <w:r w:rsidRPr="00326D8E">
              <w:rPr>
                <w:bCs/>
              </w:rPr>
              <w:instrText xml:space="preserve"> NUMPAGES  </w:instrText>
            </w:r>
            <w:r w:rsidRPr="00326D8E">
              <w:rPr>
                <w:bCs/>
                <w:sz w:val="24"/>
                <w:szCs w:val="24"/>
              </w:rPr>
              <w:fldChar w:fldCharType="separate"/>
            </w:r>
            <w:r w:rsidR="003926CF">
              <w:rPr>
                <w:bCs/>
                <w:noProof/>
              </w:rPr>
              <w:t>8</w:t>
            </w:r>
            <w:r w:rsidRPr="00326D8E">
              <w:rPr>
                <w:bCs/>
                <w:sz w:val="24"/>
                <w:szCs w:val="24"/>
              </w:rPr>
              <w:fldChar w:fldCharType="end"/>
            </w:r>
          </w:p>
        </w:sdtContent>
      </w:sdt>
    </w:sdtContent>
  </w:sdt>
  <w:p w:rsidR="00C8528D" w:rsidRPr="0018741D" w:rsidRDefault="00C8528D">
    <w:pPr>
      <w:pStyle w:val="Footer"/>
      <w:rPr>
        <w:sz w:val="20"/>
        <w:szCs w:val="20"/>
      </w:rPr>
    </w:pPr>
    <w:r>
      <w:rPr>
        <w:sz w:val="20"/>
        <w:szCs w:val="20"/>
      </w:rPr>
      <w:t>SEAC Meeting Minutes – March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48" w:rsidRDefault="00DB4E48" w:rsidP="00862DFD">
      <w:pPr>
        <w:spacing w:after="0"/>
      </w:pPr>
      <w:r>
        <w:separator/>
      </w:r>
    </w:p>
  </w:footnote>
  <w:footnote w:type="continuationSeparator" w:id="0">
    <w:p w:rsidR="00DB4E48" w:rsidRDefault="00DB4E48" w:rsidP="00862DFD">
      <w:pPr>
        <w:spacing w:after="0"/>
      </w:pPr>
      <w:r>
        <w:continuationSeparator/>
      </w:r>
    </w:p>
  </w:footnote>
  <w:footnote w:type="continuationNotice" w:id="1">
    <w:p w:rsidR="00DB4E48" w:rsidRDefault="00DB4E48">
      <w:pPr>
        <w:spacing w:before="0" w:after="0"/>
      </w:pPr>
    </w:p>
  </w:footnote>
  <w:footnote w:id="2">
    <w:p w:rsidR="00FD5EC6" w:rsidRPr="00D07629" w:rsidRDefault="00FD5EC6" w:rsidP="00D07629">
      <w:pPr>
        <w:rPr>
          <w:color w:val="1F497D"/>
          <w:sz w:val="20"/>
          <w:szCs w:val="20"/>
        </w:rPr>
      </w:pPr>
      <w:r w:rsidRPr="00D07629">
        <w:rPr>
          <w:rStyle w:val="FootnoteReference"/>
          <w:sz w:val="20"/>
          <w:szCs w:val="20"/>
        </w:rPr>
        <w:footnoteRef/>
      </w:r>
      <w:r w:rsidRPr="00D07629">
        <w:rPr>
          <w:sz w:val="20"/>
          <w:szCs w:val="20"/>
        </w:rPr>
        <w:t xml:space="preserve"> </w:t>
      </w:r>
      <w:r w:rsidRPr="00D07629">
        <w:rPr>
          <w:color w:val="3333FF"/>
          <w:sz w:val="20"/>
          <w:szCs w:val="20"/>
        </w:rPr>
        <w:t xml:space="preserve">Not included in the presentation but provided in the Minutes for clarity: </w:t>
      </w:r>
      <w:r w:rsidRPr="00D07629">
        <w:rPr>
          <w:i/>
          <w:color w:val="3333FF"/>
          <w:sz w:val="20"/>
          <w:szCs w:val="20"/>
        </w:rPr>
        <w:t>Under the Education Act, in the section that deals with “Duties of Principal”, there is an item entitled “access to school or class”. Subject to an appeal to the board, the principal can refuse to admit a person/student whose presence in the school or classroom would in the principal’s judgement be detrimental to the physical or mental well-being of the pupils</w:t>
      </w:r>
      <w:r w:rsidR="00090CA5" w:rsidRPr="00D07629">
        <w:rPr>
          <w:i/>
          <w:color w:val="3333FF"/>
          <w:sz w:val="20"/>
          <w:szCs w:val="20"/>
        </w:rPr>
        <w:t xml:space="preserve"> [265. 1 (m)]. A</w:t>
      </w:r>
      <w:r w:rsidRPr="00D07629">
        <w:rPr>
          <w:i/>
          <w:color w:val="3333FF"/>
          <w:sz w:val="20"/>
          <w:szCs w:val="20"/>
        </w:rPr>
        <w:t>nother section of the Educ</w:t>
      </w:r>
      <w:r w:rsidR="00090CA5" w:rsidRPr="00D07629">
        <w:rPr>
          <w:i/>
          <w:color w:val="3333FF"/>
          <w:sz w:val="20"/>
          <w:szCs w:val="20"/>
        </w:rPr>
        <w:t xml:space="preserve">ation Act </w:t>
      </w:r>
      <w:r w:rsidRPr="00D07629">
        <w:rPr>
          <w:i/>
          <w:color w:val="3333FF"/>
          <w:sz w:val="20"/>
          <w:szCs w:val="20"/>
        </w:rPr>
        <w:t>addresses the needs of students who are expelled.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8D" w:rsidRPr="00862DFD" w:rsidRDefault="00C8528D">
    <w:pPr>
      <w:pStyle w:val="Header"/>
      <w:rPr>
        <w:rFonts w:cs="Arial"/>
        <w:sz w:val="24"/>
        <w:szCs w:val="24"/>
      </w:rPr>
    </w:pPr>
    <w:r>
      <w:rPr>
        <w:rFonts w:cs="Arial"/>
        <w:sz w:val="24"/>
        <w:szCs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8D" w:rsidRPr="00862DFD" w:rsidRDefault="00C8528D" w:rsidP="00996803">
    <w:pPr>
      <w:pStyle w:val="Header"/>
      <w:tabs>
        <w:tab w:val="clear" w:pos="4680"/>
      </w:tabs>
      <w:ind w:left="1710" w:hanging="2160"/>
      <w:rPr>
        <w:rFonts w:ascii="Myriad Pro" w:hAnsi="Myriad Pro"/>
        <w:b/>
        <w:sz w:val="18"/>
      </w:rPr>
    </w:pPr>
    <w:r>
      <w:rPr>
        <w:noProof/>
        <w:lang w:eastAsia="en-CA"/>
      </w:rPr>
      <w:drawing>
        <wp:anchor distT="0" distB="0" distL="114300" distR="114300" simplePos="0" relativeHeight="251659264" behindDoc="0" locked="0" layoutInCell="1" allowOverlap="1" wp14:anchorId="11D427DD" wp14:editId="5B46E1AC">
          <wp:simplePos x="0" y="0"/>
          <wp:positionH relativeFrom="margin">
            <wp:posOffset>-114300</wp:posOffset>
          </wp:positionH>
          <wp:positionV relativeFrom="margin">
            <wp:posOffset>-1109345</wp:posOffset>
          </wp:positionV>
          <wp:extent cx="76327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862DFD">
      <w:rPr>
        <w:rFonts w:ascii="Myriad Pro" w:hAnsi="Myriad Pro"/>
        <w:b/>
        <w:sz w:val="18"/>
      </w:rPr>
      <w:t>TORONTO DISTRICT SCHOOL BOARD</w:t>
    </w:r>
  </w:p>
  <w:p w:rsidR="00C8528D" w:rsidRPr="0015099D" w:rsidRDefault="00C8528D" w:rsidP="00996803">
    <w:pPr>
      <w:pStyle w:val="Header"/>
      <w:tabs>
        <w:tab w:val="clear" w:pos="4680"/>
      </w:tabs>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C8528D" w:rsidRPr="0015099D" w:rsidRDefault="00C8528D" w:rsidP="00996803">
    <w:pPr>
      <w:pStyle w:val="Header"/>
      <w:tabs>
        <w:tab w:val="left" w:pos="390"/>
      </w:tabs>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C8528D" w:rsidRPr="0015099D" w:rsidRDefault="00C8528D" w:rsidP="00996803">
    <w:pPr>
      <w:pStyle w:val="Header"/>
      <w:tabs>
        <w:tab w:val="clear" w:pos="4680"/>
        <w:tab w:val="center" w:pos="4410"/>
      </w:tabs>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C8528D" w:rsidRPr="00972A09" w:rsidRDefault="00C8528D" w:rsidP="00996803">
    <w:pPr>
      <w:ind w:left="1710"/>
      <w:rPr>
        <w:b/>
      </w:rPr>
    </w:pPr>
    <w:r w:rsidRPr="0015099D">
      <w:rPr>
        <w:rFonts w:ascii="Myriad Pro" w:hAnsi="Myriad Pro"/>
        <w:sz w:val="18"/>
      </w:rPr>
      <w:t>www.tdsb.on.ca</w:t>
    </w:r>
  </w:p>
  <w:p w:rsidR="00C8528D" w:rsidRDefault="00C85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457"/>
    <w:multiLevelType w:val="hybridMultilevel"/>
    <w:tmpl w:val="2BA8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8E7A94"/>
    <w:multiLevelType w:val="hybridMultilevel"/>
    <w:tmpl w:val="ED80E44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
    <w:nsid w:val="182A38B4"/>
    <w:multiLevelType w:val="hybridMultilevel"/>
    <w:tmpl w:val="FD146AF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
    <w:nsid w:val="24242894"/>
    <w:multiLevelType w:val="hybridMultilevel"/>
    <w:tmpl w:val="C3B0C43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
    <w:nsid w:val="24EC28E5"/>
    <w:multiLevelType w:val="hybridMultilevel"/>
    <w:tmpl w:val="FF90E9AE"/>
    <w:lvl w:ilvl="0" w:tplc="3066372E">
      <w:start w:val="1"/>
      <w:numFmt w:val="lowerLetter"/>
      <w:lvlText w:val="%1)"/>
      <w:lvlJc w:val="left"/>
      <w:pPr>
        <w:ind w:left="810" w:hanging="360"/>
      </w:pPr>
      <w:rPr>
        <w:rFonts w:hint="default"/>
      </w:rPr>
    </w:lvl>
    <w:lvl w:ilvl="1" w:tplc="4AB46FB0">
      <w:numFmt w:val="bullet"/>
      <w:lvlText w:val="-"/>
      <w:lvlJc w:val="left"/>
      <w:pPr>
        <w:ind w:left="1530" w:hanging="360"/>
      </w:pPr>
      <w:rPr>
        <w:rFonts w:ascii="Arial" w:eastAsia="Calibri" w:hAnsi="Arial" w:cs="Arial"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
    <w:nsid w:val="2AF6510B"/>
    <w:multiLevelType w:val="hybridMultilevel"/>
    <w:tmpl w:val="1E1C71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2C317FC7"/>
    <w:multiLevelType w:val="hybridMultilevel"/>
    <w:tmpl w:val="296456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E66C2E"/>
    <w:multiLevelType w:val="multilevel"/>
    <w:tmpl w:val="F8103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D2595A"/>
    <w:multiLevelType w:val="multilevel"/>
    <w:tmpl w:val="04603B5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54327E"/>
    <w:multiLevelType w:val="hybridMultilevel"/>
    <w:tmpl w:val="A468BC6A"/>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0">
    <w:nsid w:val="4C2326DB"/>
    <w:multiLevelType w:val="hybridMultilevel"/>
    <w:tmpl w:val="B4F2321A"/>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1">
    <w:nsid w:val="4CAE057E"/>
    <w:multiLevelType w:val="hybridMultilevel"/>
    <w:tmpl w:val="8CDEAA6C"/>
    <w:lvl w:ilvl="0" w:tplc="03B0F1E6">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2">
    <w:nsid w:val="4DD11A64"/>
    <w:multiLevelType w:val="hybridMultilevel"/>
    <w:tmpl w:val="BC78C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765AAC"/>
    <w:multiLevelType w:val="hybridMultilevel"/>
    <w:tmpl w:val="762CF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E7492A"/>
    <w:multiLevelType w:val="hybridMultilevel"/>
    <w:tmpl w:val="215083C2"/>
    <w:lvl w:ilvl="0" w:tplc="10090001">
      <w:start w:val="1"/>
      <w:numFmt w:val="bullet"/>
      <w:lvlText w:val=""/>
      <w:lvlJc w:val="left"/>
      <w:pPr>
        <w:ind w:left="1230" w:hanging="360"/>
      </w:pPr>
      <w:rPr>
        <w:rFonts w:ascii="Symbol" w:hAnsi="Symbol" w:hint="default"/>
      </w:rPr>
    </w:lvl>
    <w:lvl w:ilvl="1" w:tplc="10090003" w:tentative="1">
      <w:start w:val="1"/>
      <w:numFmt w:val="bullet"/>
      <w:lvlText w:val="o"/>
      <w:lvlJc w:val="left"/>
      <w:pPr>
        <w:ind w:left="1950" w:hanging="360"/>
      </w:pPr>
      <w:rPr>
        <w:rFonts w:ascii="Courier New" w:hAnsi="Courier New" w:cs="Courier New" w:hint="default"/>
      </w:rPr>
    </w:lvl>
    <w:lvl w:ilvl="2" w:tplc="10090005" w:tentative="1">
      <w:start w:val="1"/>
      <w:numFmt w:val="bullet"/>
      <w:lvlText w:val=""/>
      <w:lvlJc w:val="left"/>
      <w:pPr>
        <w:ind w:left="2670" w:hanging="360"/>
      </w:pPr>
      <w:rPr>
        <w:rFonts w:ascii="Wingdings" w:hAnsi="Wingdings" w:hint="default"/>
      </w:rPr>
    </w:lvl>
    <w:lvl w:ilvl="3" w:tplc="10090001" w:tentative="1">
      <w:start w:val="1"/>
      <w:numFmt w:val="bullet"/>
      <w:lvlText w:val=""/>
      <w:lvlJc w:val="left"/>
      <w:pPr>
        <w:ind w:left="3390" w:hanging="360"/>
      </w:pPr>
      <w:rPr>
        <w:rFonts w:ascii="Symbol" w:hAnsi="Symbol" w:hint="default"/>
      </w:rPr>
    </w:lvl>
    <w:lvl w:ilvl="4" w:tplc="10090003" w:tentative="1">
      <w:start w:val="1"/>
      <w:numFmt w:val="bullet"/>
      <w:lvlText w:val="o"/>
      <w:lvlJc w:val="left"/>
      <w:pPr>
        <w:ind w:left="4110" w:hanging="360"/>
      </w:pPr>
      <w:rPr>
        <w:rFonts w:ascii="Courier New" w:hAnsi="Courier New" w:cs="Courier New" w:hint="default"/>
      </w:rPr>
    </w:lvl>
    <w:lvl w:ilvl="5" w:tplc="10090005" w:tentative="1">
      <w:start w:val="1"/>
      <w:numFmt w:val="bullet"/>
      <w:lvlText w:val=""/>
      <w:lvlJc w:val="left"/>
      <w:pPr>
        <w:ind w:left="4830" w:hanging="360"/>
      </w:pPr>
      <w:rPr>
        <w:rFonts w:ascii="Wingdings" w:hAnsi="Wingdings" w:hint="default"/>
      </w:rPr>
    </w:lvl>
    <w:lvl w:ilvl="6" w:tplc="10090001" w:tentative="1">
      <w:start w:val="1"/>
      <w:numFmt w:val="bullet"/>
      <w:lvlText w:val=""/>
      <w:lvlJc w:val="left"/>
      <w:pPr>
        <w:ind w:left="5550" w:hanging="360"/>
      </w:pPr>
      <w:rPr>
        <w:rFonts w:ascii="Symbol" w:hAnsi="Symbol" w:hint="default"/>
      </w:rPr>
    </w:lvl>
    <w:lvl w:ilvl="7" w:tplc="10090003" w:tentative="1">
      <w:start w:val="1"/>
      <w:numFmt w:val="bullet"/>
      <w:lvlText w:val="o"/>
      <w:lvlJc w:val="left"/>
      <w:pPr>
        <w:ind w:left="6270" w:hanging="360"/>
      </w:pPr>
      <w:rPr>
        <w:rFonts w:ascii="Courier New" w:hAnsi="Courier New" w:cs="Courier New" w:hint="default"/>
      </w:rPr>
    </w:lvl>
    <w:lvl w:ilvl="8" w:tplc="10090005" w:tentative="1">
      <w:start w:val="1"/>
      <w:numFmt w:val="bullet"/>
      <w:lvlText w:val=""/>
      <w:lvlJc w:val="left"/>
      <w:pPr>
        <w:ind w:left="6990" w:hanging="360"/>
      </w:pPr>
      <w:rPr>
        <w:rFonts w:ascii="Wingdings" w:hAnsi="Wingdings" w:hint="default"/>
      </w:rPr>
    </w:lvl>
  </w:abstractNum>
  <w:abstractNum w:abstractNumId="15">
    <w:nsid w:val="56C04FE7"/>
    <w:multiLevelType w:val="hybridMultilevel"/>
    <w:tmpl w:val="6B369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F18539F"/>
    <w:multiLevelType w:val="hybridMultilevel"/>
    <w:tmpl w:val="18EEBE7E"/>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3737BE7"/>
    <w:multiLevelType w:val="hybridMultilevel"/>
    <w:tmpl w:val="5D446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4DC1816"/>
    <w:multiLevelType w:val="hybridMultilevel"/>
    <w:tmpl w:val="64E04F58"/>
    <w:lvl w:ilvl="0" w:tplc="10090001">
      <w:start w:val="1"/>
      <w:numFmt w:val="bullet"/>
      <w:lvlText w:val=""/>
      <w:lvlJc w:val="left"/>
      <w:pPr>
        <w:ind w:left="1620" w:hanging="360"/>
      </w:pPr>
      <w:rPr>
        <w:rFonts w:ascii="Symbol" w:hAnsi="Symbol" w:hint="default"/>
      </w:rPr>
    </w:lvl>
    <w:lvl w:ilvl="1" w:tplc="10090001">
      <w:start w:val="1"/>
      <w:numFmt w:val="bullet"/>
      <w:lvlText w:val=""/>
      <w:lvlJc w:val="left"/>
      <w:pPr>
        <w:ind w:left="2340" w:hanging="360"/>
      </w:pPr>
      <w:rPr>
        <w:rFonts w:ascii="Symbol" w:hAnsi="Symbol"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nsid w:val="6AA47467"/>
    <w:multiLevelType w:val="hybridMultilevel"/>
    <w:tmpl w:val="1666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BAB419F"/>
    <w:multiLevelType w:val="hybridMultilevel"/>
    <w:tmpl w:val="FA16E2AA"/>
    <w:lvl w:ilvl="0" w:tplc="E30014DE">
      <w:start w:val="1"/>
      <w:numFmt w:val="decimal"/>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2">
    <w:nsid w:val="6D813B6B"/>
    <w:multiLevelType w:val="hybridMultilevel"/>
    <w:tmpl w:val="04D23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E7A14E9"/>
    <w:multiLevelType w:val="hybridMultilevel"/>
    <w:tmpl w:val="12140D44"/>
    <w:lvl w:ilvl="0" w:tplc="69E60630">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CD71EC"/>
    <w:multiLevelType w:val="hybridMultilevel"/>
    <w:tmpl w:val="07F6BD06"/>
    <w:lvl w:ilvl="0" w:tplc="37203ACE">
      <w:start w:val="1"/>
      <w:numFmt w:val="decimal"/>
      <w:lvlText w:val="%1."/>
      <w:lvlJc w:val="left"/>
      <w:pPr>
        <w:ind w:left="360" w:hanging="360"/>
      </w:pPr>
      <w:rPr>
        <w:rFonts w:hint="default"/>
        <w:b/>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5">
    <w:nsid w:val="751504F6"/>
    <w:multiLevelType w:val="hybridMultilevel"/>
    <w:tmpl w:val="DC788FD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6">
    <w:nsid w:val="7597005D"/>
    <w:multiLevelType w:val="hybridMultilevel"/>
    <w:tmpl w:val="EFFC5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7511DBD"/>
    <w:multiLevelType w:val="hybridMultilevel"/>
    <w:tmpl w:val="3D0447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95B6AA2"/>
    <w:multiLevelType w:val="hybridMultilevel"/>
    <w:tmpl w:val="EB083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AAA1501"/>
    <w:multiLevelType w:val="hybridMultilevel"/>
    <w:tmpl w:val="DAAA6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B1657D8"/>
    <w:multiLevelType w:val="hybridMultilevel"/>
    <w:tmpl w:val="2FBEDDD0"/>
    <w:lvl w:ilvl="0" w:tplc="102EFEDE">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6"/>
  </w:num>
  <w:num w:numId="2">
    <w:abstractNumId w:val="16"/>
  </w:num>
  <w:num w:numId="3">
    <w:abstractNumId w:val="30"/>
  </w:num>
  <w:num w:numId="4">
    <w:abstractNumId w:val="1"/>
  </w:num>
  <w:num w:numId="5">
    <w:abstractNumId w:val="3"/>
  </w:num>
  <w:num w:numId="6">
    <w:abstractNumId w:val="10"/>
  </w:num>
  <w:num w:numId="7">
    <w:abstractNumId w:val="5"/>
  </w:num>
  <w:num w:numId="8">
    <w:abstractNumId w:val="4"/>
  </w:num>
  <w:num w:numId="9">
    <w:abstractNumId w:val="9"/>
  </w:num>
  <w:num w:numId="10">
    <w:abstractNumId w:val="19"/>
  </w:num>
  <w:num w:numId="11">
    <w:abstractNumId w:val="7"/>
  </w:num>
  <w:num w:numId="12">
    <w:abstractNumId w:val="20"/>
  </w:num>
  <w:num w:numId="13">
    <w:abstractNumId w:val="2"/>
  </w:num>
  <w:num w:numId="14">
    <w:abstractNumId w:val="11"/>
  </w:num>
  <w:num w:numId="15">
    <w:abstractNumId w:val="24"/>
  </w:num>
  <w:num w:numId="16">
    <w:abstractNumId w:val="27"/>
  </w:num>
  <w:num w:numId="17">
    <w:abstractNumId w:val="29"/>
  </w:num>
  <w:num w:numId="18">
    <w:abstractNumId w:val="18"/>
  </w:num>
  <w:num w:numId="19">
    <w:abstractNumId w:val="23"/>
  </w:num>
  <w:num w:numId="20">
    <w:abstractNumId w:val="8"/>
  </w:num>
  <w:num w:numId="21">
    <w:abstractNumId w:val="28"/>
  </w:num>
  <w:num w:numId="22">
    <w:abstractNumId w:val="15"/>
  </w:num>
  <w:num w:numId="23">
    <w:abstractNumId w:val="14"/>
  </w:num>
  <w:num w:numId="24">
    <w:abstractNumId w:val="25"/>
  </w:num>
  <w:num w:numId="25">
    <w:abstractNumId w:val="12"/>
  </w:num>
  <w:num w:numId="26">
    <w:abstractNumId w:val="21"/>
  </w:num>
  <w:num w:numId="27">
    <w:abstractNumId w:val="26"/>
  </w:num>
  <w:num w:numId="28">
    <w:abstractNumId w:val="22"/>
  </w:num>
  <w:num w:numId="29">
    <w:abstractNumId w:val="0"/>
  </w:num>
  <w:num w:numId="30">
    <w:abstractNumId w:val="17"/>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3692"/>
    <w:rsid w:val="000044EA"/>
    <w:rsid w:val="000101B1"/>
    <w:rsid w:val="00011CB7"/>
    <w:rsid w:val="000156E8"/>
    <w:rsid w:val="0003206A"/>
    <w:rsid w:val="00043770"/>
    <w:rsid w:val="00051D1B"/>
    <w:rsid w:val="00055248"/>
    <w:rsid w:val="00057BAB"/>
    <w:rsid w:val="00080893"/>
    <w:rsid w:val="00082099"/>
    <w:rsid w:val="00084353"/>
    <w:rsid w:val="00090528"/>
    <w:rsid w:val="00090CA5"/>
    <w:rsid w:val="00095C5B"/>
    <w:rsid w:val="000A3928"/>
    <w:rsid w:val="000A4C8B"/>
    <w:rsid w:val="000A5879"/>
    <w:rsid w:val="000B56BE"/>
    <w:rsid w:val="000D342C"/>
    <w:rsid w:val="000D6040"/>
    <w:rsid w:val="000D608F"/>
    <w:rsid w:val="000E76F2"/>
    <w:rsid w:val="00107771"/>
    <w:rsid w:val="00121533"/>
    <w:rsid w:val="001416A6"/>
    <w:rsid w:val="001455D2"/>
    <w:rsid w:val="00147257"/>
    <w:rsid w:val="001515DA"/>
    <w:rsid w:val="00163887"/>
    <w:rsid w:val="00165837"/>
    <w:rsid w:val="00181CB3"/>
    <w:rsid w:val="00182A71"/>
    <w:rsid w:val="0018741D"/>
    <w:rsid w:val="0019033B"/>
    <w:rsid w:val="001A57CC"/>
    <w:rsid w:val="001B03C9"/>
    <w:rsid w:val="001F7014"/>
    <w:rsid w:val="001F7A45"/>
    <w:rsid w:val="002018BB"/>
    <w:rsid w:val="00216CB7"/>
    <w:rsid w:val="00225845"/>
    <w:rsid w:val="00226316"/>
    <w:rsid w:val="002321E0"/>
    <w:rsid w:val="0023664D"/>
    <w:rsid w:val="00242540"/>
    <w:rsid w:val="0024652F"/>
    <w:rsid w:val="002465DA"/>
    <w:rsid w:val="00253459"/>
    <w:rsid w:val="00274DF0"/>
    <w:rsid w:val="00276CEB"/>
    <w:rsid w:val="00281C3E"/>
    <w:rsid w:val="002C4D3E"/>
    <w:rsid w:val="002F0631"/>
    <w:rsid w:val="00307523"/>
    <w:rsid w:val="00315090"/>
    <w:rsid w:val="00326D8E"/>
    <w:rsid w:val="00331209"/>
    <w:rsid w:val="0033378D"/>
    <w:rsid w:val="0033475B"/>
    <w:rsid w:val="00353198"/>
    <w:rsid w:val="003634AB"/>
    <w:rsid w:val="003656D0"/>
    <w:rsid w:val="00373EC5"/>
    <w:rsid w:val="003926CF"/>
    <w:rsid w:val="0039484D"/>
    <w:rsid w:val="003A515F"/>
    <w:rsid w:val="003A5E08"/>
    <w:rsid w:val="003A737C"/>
    <w:rsid w:val="003B1D75"/>
    <w:rsid w:val="003C17A0"/>
    <w:rsid w:val="003D0956"/>
    <w:rsid w:val="003D75E3"/>
    <w:rsid w:val="003F749C"/>
    <w:rsid w:val="00404A61"/>
    <w:rsid w:val="00421ADE"/>
    <w:rsid w:val="00426571"/>
    <w:rsid w:val="0043539E"/>
    <w:rsid w:val="00436003"/>
    <w:rsid w:val="0044233D"/>
    <w:rsid w:val="00451F3F"/>
    <w:rsid w:val="00492A6C"/>
    <w:rsid w:val="004D78E0"/>
    <w:rsid w:val="004E46CD"/>
    <w:rsid w:val="004F604A"/>
    <w:rsid w:val="00527FC6"/>
    <w:rsid w:val="0053329C"/>
    <w:rsid w:val="0054086E"/>
    <w:rsid w:val="005419D1"/>
    <w:rsid w:val="005421B0"/>
    <w:rsid w:val="00566592"/>
    <w:rsid w:val="005740D5"/>
    <w:rsid w:val="0057573E"/>
    <w:rsid w:val="005809BE"/>
    <w:rsid w:val="00582A0A"/>
    <w:rsid w:val="00587113"/>
    <w:rsid w:val="00590BE6"/>
    <w:rsid w:val="005D3B92"/>
    <w:rsid w:val="005D4F6B"/>
    <w:rsid w:val="005D77C3"/>
    <w:rsid w:val="005E1A2C"/>
    <w:rsid w:val="005E2928"/>
    <w:rsid w:val="005F44CB"/>
    <w:rsid w:val="00621901"/>
    <w:rsid w:val="006330FB"/>
    <w:rsid w:val="006466FA"/>
    <w:rsid w:val="00653D26"/>
    <w:rsid w:val="00654994"/>
    <w:rsid w:val="00662939"/>
    <w:rsid w:val="00680117"/>
    <w:rsid w:val="006820FB"/>
    <w:rsid w:val="00685FDC"/>
    <w:rsid w:val="00686FAB"/>
    <w:rsid w:val="0069181C"/>
    <w:rsid w:val="00694DC7"/>
    <w:rsid w:val="0069565F"/>
    <w:rsid w:val="006956CF"/>
    <w:rsid w:val="00695911"/>
    <w:rsid w:val="006974B8"/>
    <w:rsid w:val="006A079F"/>
    <w:rsid w:val="006A1EBD"/>
    <w:rsid w:val="006D51A8"/>
    <w:rsid w:val="006E74B1"/>
    <w:rsid w:val="006F18E6"/>
    <w:rsid w:val="006F7B18"/>
    <w:rsid w:val="00702BCC"/>
    <w:rsid w:val="007036DB"/>
    <w:rsid w:val="00704447"/>
    <w:rsid w:val="007104E3"/>
    <w:rsid w:val="00716EAB"/>
    <w:rsid w:val="00725824"/>
    <w:rsid w:val="00726FBB"/>
    <w:rsid w:val="00732288"/>
    <w:rsid w:val="007323AA"/>
    <w:rsid w:val="00733989"/>
    <w:rsid w:val="00733F04"/>
    <w:rsid w:val="00744DD4"/>
    <w:rsid w:val="00745E17"/>
    <w:rsid w:val="0075194E"/>
    <w:rsid w:val="0076560D"/>
    <w:rsid w:val="00783F19"/>
    <w:rsid w:val="007866A0"/>
    <w:rsid w:val="007951B0"/>
    <w:rsid w:val="00796398"/>
    <w:rsid w:val="007A0103"/>
    <w:rsid w:val="007A48B9"/>
    <w:rsid w:val="007C6D97"/>
    <w:rsid w:val="0080427B"/>
    <w:rsid w:val="00832D69"/>
    <w:rsid w:val="00835BE4"/>
    <w:rsid w:val="008439FC"/>
    <w:rsid w:val="00844AD8"/>
    <w:rsid w:val="008523C1"/>
    <w:rsid w:val="00860FCD"/>
    <w:rsid w:val="00862DFD"/>
    <w:rsid w:val="00873938"/>
    <w:rsid w:val="008865A4"/>
    <w:rsid w:val="0089419C"/>
    <w:rsid w:val="008A6467"/>
    <w:rsid w:val="008A7E6E"/>
    <w:rsid w:val="008B2CE9"/>
    <w:rsid w:val="008D186E"/>
    <w:rsid w:val="008D405C"/>
    <w:rsid w:val="008D4FA7"/>
    <w:rsid w:val="008F0A57"/>
    <w:rsid w:val="00900F08"/>
    <w:rsid w:val="0090199B"/>
    <w:rsid w:val="009033D4"/>
    <w:rsid w:val="009034D9"/>
    <w:rsid w:val="00904A52"/>
    <w:rsid w:val="00904C1D"/>
    <w:rsid w:val="00904F06"/>
    <w:rsid w:val="009073D5"/>
    <w:rsid w:val="00913DD8"/>
    <w:rsid w:val="009165A5"/>
    <w:rsid w:val="009264EE"/>
    <w:rsid w:val="009337E8"/>
    <w:rsid w:val="009378E9"/>
    <w:rsid w:val="0094441A"/>
    <w:rsid w:val="00947AA9"/>
    <w:rsid w:val="00951D94"/>
    <w:rsid w:val="00955B70"/>
    <w:rsid w:val="00972A09"/>
    <w:rsid w:val="00984B81"/>
    <w:rsid w:val="00996803"/>
    <w:rsid w:val="009A0699"/>
    <w:rsid w:val="009A1BC0"/>
    <w:rsid w:val="009A3281"/>
    <w:rsid w:val="009B2ABA"/>
    <w:rsid w:val="009C415E"/>
    <w:rsid w:val="009D20BE"/>
    <w:rsid w:val="009E1A63"/>
    <w:rsid w:val="009F2C56"/>
    <w:rsid w:val="00A00587"/>
    <w:rsid w:val="00A11DF4"/>
    <w:rsid w:val="00A457C6"/>
    <w:rsid w:val="00A604FF"/>
    <w:rsid w:val="00A61799"/>
    <w:rsid w:val="00A66AD8"/>
    <w:rsid w:val="00A8173D"/>
    <w:rsid w:val="00A817E4"/>
    <w:rsid w:val="00A94511"/>
    <w:rsid w:val="00A959AC"/>
    <w:rsid w:val="00A97455"/>
    <w:rsid w:val="00AB31D5"/>
    <w:rsid w:val="00AB782D"/>
    <w:rsid w:val="00AC1B0F"/>
    <w:rsid w:val="00AC2550"/>
    <w:rsid w:val="00AC28D5"/>
    <w:rsid w:val="00AC55DD"/>
    <w:rsid w:val="00AC5B43"/>
    <w:rsid w:val="00AC78E8"/>
    <w:rsid w:val="00AD1A72"/>
    <w:rsid w:val="00AD347B"/>
    <w:rsid w:val="00AF0A33"/>
    <w:rsid w:val="00AF0E63"/>
    <w:rsid w:val="00B07454"/>
    <w:rsid w:val="00B07AB9"/>
    <w:rsid w:val="00B120C1"/>
    <w:rsid w:val="00B31672"/>
    <w:rsid w:val="00B41A4B"/>
    <w:rsid w:val="00B50EA4"/>
    <w:rsid w:val="00B6115F"/>
    <w:rsid w:val="00B65DAE"/>
    <w:rsid w:val="00B7364A"/>
    <w:rsid w:val="00B84871"/>
    <w:rsid w:val="00BB1CE8"/>
    <w:rsid w:val="00BD17AE"/>
    <w:rsid w:val="00BD2D07"/>
    <w:rsid w:val="00BD6096"/>
    <w:rsid w:val="00BD6101"/>
    <w:rsid w:val="00C028B0"/>
    <w:rsid w:val="00C113BB"/>
    <w:rsid w:val="00C14245"/>
    <w:rsid w:val="00C24330"/>
    <w:rsid w:val="00C26BD2"/>
    <w:rsid w:val="00C26BED"/>
    <w:rsid w:val="00C37C95"/>
    <w:rsid w:val="00C46FF4"/>
    <w:rsid w:val="00C60F73"/>
    <w:rsid w:val="00C70457"/>
    <w:rsid w:val="00C72F9A"/>
    <w:rsid w:val="00C81344"/>
    <w:rsid w:val="00C8528D"/>
    <w:rsid w:val="00C91B38"/>
    <w:rsid w:val="00C9508A"/>
    <w:rsid w:val="00C9539B"/>
    <w:rsid w:val="00C96572"/>
    <w:rsid w:val="00C96EA6"/>
    <w:rsid w:val="00CA18FF"/>
    <w:rsid w:val="00CA3521"/>
    <w:rsid w:val="00CC6F0F"/>
    <w:rsid w:val="00D07629"/>
    <w:rsid w:val="00D31E2C"/>
    <w:rsid w:val="00D34950"/>
    <w:rsid w:val="00D35AFE"/>
    <w:rsid w:val="00D42BEF"/>
    <w:rsid w:val="00D45074"/>
    <w:rsid w:val="00D456D5"/>
    <w:rsid w:val="00D51628"/>
    <w:rsid w:val="00D52F6B"/>
    <w:rsid w:val="00D56F70"/>
    <w:rsid w:val="00D678A8"/>
    <w:rsid w:val="00D94475"/>
    <w:rsid w:val="00D96302"/>
    <w:rsid w:val="00DB2E6E"/>
    <w:rsid w:val="00DB4E48"/>
    <w:rsid w:val="00DC055D"/>
    <w:rsid w:val="00DC4ACC"/>
    <w:rsid w:val="00DD4EAC"/>
    <w:rsid w:val="00DD707C"/>
    <w:rsid w:val="00DE6156"/>
    <w:rsid w:val="00DF0D75"/>
    <w:rsid w:val="00DF47CC"/>
    <w:rsid w:val="00DF65D0"/>
    <w:rsid w:val="00E03266"/>
    <w:rsid w:val="00E107B3"/>
    <w:rsid w:val="00E12764"/>
    <w:rsid w:val="00E12EE7"/>
    <w:rsid w:val="00E20D53"/>
    <w:rsid w:val="00E2749F"/>
    <w:rsid w:val="00E30697"/>
    <w:rsid w:val="00E36C46"/>
    <w:rsid w:val="00E4146F"/>
    <w:rsid w:val="00E541E9"/>
    <w:rsid w:val="00E57B63"/>
    <w:rsid w:val="00E602CA"/>
    <w:rsid w:val="00E73090"/>
    <w:rsid w:val="00E805CC"/>
    <w:rsid w:val="00E816AB"/>
    <w:rsid w:val="00E84342"/>
    <w:rsid w:val="00E84666"/>
    <w:rsid w:val="00E95854"/>
    <w:rsid w:val="00E95895"/>
    <w:rsid w:val="00EA5487"/>
    <w:rsid w:val="00EB0BBF"/>
    <w:rsid w:val="00EB7AA1"/>
    <w:rsid w:val="00EC1CCA"/>
    <w:rsid w:val="00EC44C7"/>
    <w:rsid w:val="00EE3A6B"/>
    <w:rsid w:val="00EE4052"/>
    <w:rsid w:val="00EF0F7A"/>
    <w:rsid w:val="00EF45E7"/>
    <w:rsid w:val="00EF4823"/>
    <w:rsid w:val="00EF4851"/>
    <w:rsid w:val="00F0720C"/>
    <w:rsid w:val="00F10DCC"/>
    <w:rsid w:val="00F16EA6"/>
    <w:rsid w:val="00F260E7"/>
    <w:rsid w:val="00F526D3"/>
    <w:rsid w:val="00F70749"/>
    <w:rsid w:val="00F71DF5"/>
    <w:rsid w:val="00F76B99"/>
    <w:rsid w:val="00F91E8E"/>
    <w:rsid w:val="00F943E5"/>
    <w:rsid w:val="00FA5B93"/>
    <w:rsid w:val="00FB1894"/>
    <w:rsid w:val="00FB7D45"/>
    <w:rsid w:val="00FC5FFB"/>
    <w:rsid w:val="00FD5EC6"/>
    <w:rsid w:val="00FD692E"/>
    <w:rsid w:val="00FE0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9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paragraph" w:styleId="EndnoteText">
    <w:name w:val="endnote text"/>
    <w:basedOn w:val="Normal"/>
    <w:link w:val="EndnoteTextChar"/>
    <w:uiPriority w:val="99"/>
    <w:semiHidden/>
    <w:unhideWhenUsed/>
    <w:rsid w:val="00FD5EC6"/>
    <w:pPr>
      <w:spacing w:before="0" w:after="0"/>
    </w:pPr>
    <w:rPr>
      <w:sz w:val="20"/>
      <w:szCs w:val="20"/>
    </w:rPr>
  </w:style>
  <w:style w:type="character" w:customStyle="1" w:styleId="EndnoteTextChar">
    <w:name w:val="Endnote Text Char"/>
    <w:basedOn w:val="DefaultParagraphFont"/>
    <w:link w:val="EndnoteText"/>
    <w:uiPriority w:val="99"/>
    <w:semiHidden/>
    <w:rsid w:val="00FD5EC6"/>
    <w:rPr>
      <w:rFonts w:ascii="Arial" w:eastAsia="Calibri" w:hAnsi="Arial" w:cs="Times New Roman"/>
      <w:sz w:val="20"/>
      <w:szCs w:val="20"/>
    </w:rPr>
  </w:style>
  <w:style w:type="character" w:styleId="EndnoteReference">
    <w:name w:val="endnote reference"/>
    <w:basedOn w:val="DefaultParagraphFont"/>
    <w:uiPriority w:val="99"/>
    <w:semiHidden/>
    <w:unhideWhenUsed/>
    <w:rsid w:val="00FD5EC6"/>
    <w:rPr>
      <w:vertAlign w:val="superscript"/>
    </w:rPr>
  </w:style>
  <w:style w:type="paragraph" w:styleId="FootnoteText">
    <w:name w:val="footnote text"/>
    <w:basedOn w:val="Normal"/>
    <w:link w:val="FootnoteTextChar"/>
    <w:uiPriority w:val="99"/>
    <w:semiHidden/>
    <w:unhideWhenUsed/>
    <w:rsid w:val="00FD5EC6"/>
    <w:pPr>
      <w:spacing w:before="0" w:after="0"/>
    </w:pPr>
    <w:rPr>
      <w:sz w:val="20"/>
      <w:szCs w:val="20"/>
    </w:rPr>
  </w:style>
  <w:style w:type="character" w:customStyle="1" w:styleId="FootnoteTextChar">
    <w:name w:val="Footnote Text Char"/>
    <w:basedOn w:val="DefaultParagraphFont"/>
    <w:link w:val="FootnoteText"/>
    <w:uiPriority w:val="99"/>
    <w:semiHidden/>
    <w:rsid w:val="00FD5EC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D5E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99"/>
    <w:rsid w:val="00862DF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 w:type="paragraph" w:styleId="EndnoteText">
    <w:name w:val="endnote text"/>
    <w:basedOn w:val="Normal"/>
    <w:link w:val="EndnoteTextChar"/>
    <w:uiPriority w:val="99"/>
    <w:semiHidden/>
    <w:unhideWhenUsed/>
    <w:rsid w:val="00FD5EC6"/>
    <w:pPr>
      <w:spacing w:before="0" w:after="0"/>
    </w:pPr>
    <w:rPr>
      <w:sz w:val="20"/>
      <w:szCs w:val="20"/>
    </w:rPr>
  </w:style>
  <w:style w:type="character" w:customStyle="1" w:styleId="EndnoteTextChar">
    <w:name w:val="Endnote Text Char"/>
    <w:basedOn w:val="DefaultParagraphFont"/>
    <w:link w:val="EndnoteText"/>
    <w:uiPriority w:val="99"/>
    <w:semiHidden/>
    <w:rsid w:val="00FD5EC6"/>
    <w:rPr>
      <w:rFonts w:ascii="Arial" w:eastAsia="Calibri" w:hAnsi="Arial" w:cs="Times New Roman"/>
      <w:sz w:val="20"/>
      <w:szCs w:val="20"/>
    </w:rPr>
  </w:style>
  <w:style w:type="character" w:styleId="EndnoteReference">
    <w:name w:val="endnote reference"/>
    <w:basedOn w:val="DefaultParagraphFont"/>
    <w:uiPriority w:val="99"/>
    <w:semiHidden/>
    <w:unhideWhenUsed/>
    <w:rsid w:val="00FD5EC6"/>
    <w:rPr>
      <w:vertAlign w:val="superscript"/>
    </w:rPr>
  </w:style>
  <w:style w:type="paragraph" w:styleId="FootnoteText">
    <w:name w:val="footnote text"/>
    <w:basedOn w:val="Normal"/>
    <w:link w:val="FootnoteTextChar"/>
    <w:uiPriority w:val="99"/>
    <w:semiHidden/>
    <w:unhideWhenUsed/>
    <w:rsid w:val="00FD5EC6"/>
    <w:pPr>
      <w:spacing w:before="0" w:after="0"/>
    </w:pPr>
    <w:rPr>
      <w:sz w:val="20"/>
      <w:szCs w:val="20"/>
    </w:rPr>
  </w:style>
  <w:style w:type="character" w:customStyle="1" w:styleId="FootnoteTextChar">
    <w:name w:val="Footnote Text Char"/>
    <w:basedOn w:val="DefaultParagraphFont"/>
    <w:link w:val="FootnoteText"/>
    <w:uiPriority w:val="99"/>
    <w:semiHidden/>
    <w:rsid w:val="00FD5EC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D5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38835103">
      <w:bodyDiv w:val="1"/>
      <w:marLeft w:val="0"/>
      <w:marRight w:val="0"/>
      <w:marTop w:val="0"/>
      <w:marBottom w:val="0"/>
      <w:divBdr>
        <w:top w:val="none" w:sz="0" w:space="0" w:color="auto"/>
        <w:left w:val="none" w:sz="0" w:space="0" w:color="auto"/>
        <w:bottom w:val="none" w:sz="0" w:space="0" w:color="auto"/>
        <w:right w:val="none" w:sz="0" w:space="0" w:color="auto"/>
      </w:divBdr>
    </w:div>
    <w:div w:id="939991929">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 w:id="21336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E30A-EBFF-483F-A273-7B2FE362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4</cp:revision>
  <cp:lastPrinted>2016-03-18T13:43:00Z</cp:lastPrinted>
  <dcterms:created xsi:type="dcterms:W3CDTF">2016-03-31T16:31:00Z</dcterms:created>
  <dcterms:modified xsi:type="dcterms:W3CDTF">2016-04-01T17:00:00Z</dcterms:modified>
</cp:coreProperties>
</file>