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D4" w:rsidRPr="003C355E" w:rsidRDefault="00597BD4" w:rsidP="003C355E">
      <w:pPr>
        <w:widowControl w:val="0"/>
        <w:jc w:val="center"/>
        <w:rPr>
          <w:rFonts w:ascii="Arial" w:hAnsi="Arial"/>
          <w:b/>
        </w:rPr>
      </w:pPr>
      <w:r w:rsidRPr="003C355E">
        <w:rPr>
          <w:rFonts w:ascii="Arial" w:hAnsi="Arial"/>
          <w:b/>
        </w:rPr>
        <w:t>Toronto District School Board Special Education Advisory Committee</w:t>
      </w:r>
    </w:p>
    <w:p w:rsidR="00597BD4" w:rsidRPr="003C355E" w:rsidRDefault="00597BD4" w:rsidP="00966D79">
      <w:pPr>
        <w:pStyle w:val="Heading1"/>
        <w:keepNext w:val="0"/>
        <w:keepLines w:val="0"/>
        <w:widowControl w:val="0"/>
        <w:spacing w:before="0"/>
        <w:rPr>
          <w:rFonts w:ascii="Arial" w:hAnsi="Arial"/>
          <w:sz w:val="24"/>
        </w:rPr>
      </w:pPr>
    </w:p>
    <w:p w:rsidR="00597BD4" w:rsidRPr="003C355E" w:rsidRDefault="00597BD4" w:rsidP="00966D79">
      <w:pPr>
        <w:pStyle w:val="Heading1"/>
        <w:keepNext w:val="0"/>
        <w:keepLines w:val="0"/>
        <w:widowControl w:val="0"/>
        <w:spacing w:before="0"/>
        <w:rPr>
          <w:rFonts w:ascii="Arial" w:hAnsi="Arial"/>
          <w:sz w:val="24"/>
        </w:rPr>
      </w:pPr>
      <w:r w:rsidRPr="003C355E">
        <w:rPr>
          <w:rFonts w:ascii="Arial" w:hAnsi="Arial"/>
          <w:sz w:val="24"/>
        </w:rPr>
        <w:t>Motion #5 - Substantially Improving the Effective Inclusion of Students with Special Education Needs at TDSB</w:t>
      </w:r>
    </w:p>
    <w:p w:rsidR="00597BD4" w:rsidRPr="003C355E" w:rsidRDefault="00597BD4" w:rsidP="003C355E"/>
    <w:p w:rsidR="00597BD4" w:rsidRPr="003C355E" w:rsidRDefault="00597BD4" w:rsidP="003C355E">
      <w:pPr>
        <w:widowControl w:val="0"/>
        <w:jc w:val="center"/>
        <w:rPr>
          <w:rFonts w:ascii="Arial" w:hAnsi="Arial"/>
        </w:rPr>
      </w:pPr>
      <w:r w:rsidRPr="003C355E">
        <w:rPr>
          <w:rFonts w:ascii="Arial" w:hAnsi="Arial"/>
        </w:rPr>
        <w:t>Draft #3 dated March 15, 2017</w:t>
      </w:r>
    </w:p>
    <w:p w:rsidR="00597BD4" w:rsidRPr="003C355E" w:rsidRDefault="00597BD4" w:rsidP="00966D79">
      <w:pPr>
        <w:widowControl w:val="0"/>
        <w:rPr>
          <w:rFonts w:ascii="Arial" w:hAnsi="Arial"/>
        </w:rPr>
      </w:pPr>
    </w:p>
    <w:p w:rsidR="00597BD4" w:rsidRPr="003C355E" w:rsidRDefault="00597BD4" w:rsidP="00966D79">
      <w:pPr>
        <w:pStyle w:val="Heading1"/>
        <w:keepNext w:val="0"/>
        <w:keepLines w:val="0"/>
        <w:widowControl w:val="0"/>
        <w:spacing w:before="0"/>
        <w:rPr>
          <w:rFonts w:ascii="Arial" w:hAnsi="Arial"/>
          <w:sz w:val="24"/>
        </w:rPr>
      </w:pPr>
      <w:r w:rsidRPr="003C355E">
        <w:rPr>
          <w:rFonts w:ascii="Arial" w:hAnsi="Arial"/>
          <w:sz w:val="24"/>
        </w:rPr>
        <w:t xml:space="preserve">Background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TDSB's Special Education Advisory Committee (SEAC) is continuing its top-to-bottom review of the TDSB's services for students with special education needs. On June 13, 2016, it passed four motions, arising from this review. In this fifth Motion arising from this review, SEAC calls on TDSB to take major new action, as part of its commendable 2016 Integrated Equity Plan, to significantly strengthen opportunities for students with special education needs to be educated based on inclusion in the regular classroom.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SEAC's earlier four motions offer important recommendations that would reinforce TDSB's efforts at improving inclusion of students with special education needs. It will help improve inclusion if TDSB does a substantially better job at fulfilling the right of parents/guardians to know what educational options, accommodations, services and supports are available for their child (Motion #1), if TDSB improves its process for including parents/guardians in decisions regarding their child (Motion #2), and if TDSB ensures the accessibility of TDSB's built environment (Motion #3) and the digital environment in its classes and programs (Motion #4).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This fifth motion gives additional ways to reinforce TDSB's inclusion strategy. SEAC welcomed and drew on extensive staff input while preparing this Motion. Staff feedback on a substantially similar earlier draft of this Motion stated: "The majority of the recommendations align with our Integrated Equity Frame work."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An effective expanded TDSB inclusion strategy should aim to ensure that the regular classroom is designed and operated in a fully disability-accessible and barrier-free way. Inclusion is far easier when accessibility barriers are removed from regular classes.</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Challenges can arise because Ontario's special education laws combine both students with disabilities and gifted students. Their needs can differ. An inclusion strategy regarding students with disabilities should be tailored to the needs and rights of students with disabilities. An inclusion strategy for gifted students should be tailored to the needs and rights of gifted students. Reforms for each group should not impede strategies for the other.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has a duty to accommodate students' disability-related learning needs, and to remove and prevent accessibility barriers impeding them, up to the point of undue hardship to TDSB. TDSB also has a duty to become a fully accessible provider of education services to students with disabilities, by 2025.</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TDSB segregates students with special education needs for more than half of the school day, at a rate that is more than triple the provincial average. TDSB has given SEAC no evidence-based explanation for this.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This motion seeks common ground among those with a range of perspectives on when and whether students with special education needs should be educated in the regular classroom and when they should be educated in a separate classroom. Pivotal to this common ground is the importance of parental choice.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The mere placement of a student with special education needs in a regular classroom, as reported in provincial statistics, is not, of itself, sufficient to be effective "inclusion." "Inclusion" does not simply mean dumping students with disabilities in the current regular classroom "as is," without supports and accommodations they need, leaving them to sink or swim. Meaningful inclusion requires that they be given the accommodations, services and supports they need to succeed. These statistics do not show how many of the students with disabilities across Ontario, or at TDSB, placed in regular class settings for more than half of the day, were given all the needed accommodations, services and supports.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An effective inclusion policy does not mean that segregated classes for some students with disabilities are never permitted. However, inclusion should be available, with all needed accommodations and supports with parental consent, except where demonstrably counterproductive. Any placement must be accompanied by all needed accommodations, services and supports to enable that student to succeed.</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The new TDSB Inclusion Strategy must include major systematic changes at all levels. It requires a major transition plan that extensively uses outside expertise. It must include important safeguards to ensure that no students with special education needs are put in a worse position.</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There are many recurring disability accessibility barriers in Ontario's education system, including at TDSB. The inclusion strategy must address these recurring accessibility barriers. Principals should not have to find solutions, one school at a time. Students with disabilities should not have to battle barriers one at a time. Action in these areas will help teachers and school staff better serve students. This will be more cost effective for TDSB.</w:t>
      </w:r>
    </w:p>
    <w:p w:rsidR="00597BD4" w:rsidRPr="003C355E" w:rsidRDefault="00597BD4" w:rsidP="00966D79">
      <w:pPr>
        <w:widowControl w:val="0"/>
        <w:rPr>
          <w:rFonts w:ascii="Arial" w:hAnsi="Arial"/>
        </w:rPr>
      </w:pPr>
      <w:r w:rsidRPr="003C355E">
        <w:rPr>
          <w:rFonts w:ascii="Arial" w:hAnsi="Arial"/>
        </w:rPr>
        <w:t xml:space="preserve"> </w:t>
      </w:r>
    </w:p>
    <w:p w:rsidR="00597BD4" w:rsidRPr="003C355E" w:rsidRDefault="00597BD4" w:rsidP="00966D79">
      <w:pPr>
        <w:widowControl w:val="0"/>
        <w:rPr>
          <w:rFonts w:ascii="Arial" w:hAnsi="Arial"/>
        </w:rPr>
      </w:pPr>
      <w:r w:rsidRPr="003C355E">
        <w:rPr>
          <w:rFonts w:ascii="Arial" w:hAnsi="Arial"/>
        </w:rPr>
        <w:t xml:space="preserve">For students with disabilities to succeed in the regular classroom, regular classroom teachers must learn how to teach students with disabilities. TDSB teaching staff need training on Universal Design in Learning (UDL) and differentiated instruction. UDL involves designing and implementing the curriculum, lesson plans, and other classroom learning activities in a way that addresses the needs of all learners, not just students without disabilities. TDSB does not ask about UDL at job interviews. It does not appear that TDSB teachers are monitored or evaluated on practicing UDL.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To increase the inclusion of students with disabilities in the regular classroom, it is necessary to eliminate attitudinal barriers that may be harboured by some students, some staff and some families of TDSB students.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needs to be more administratively creative and flexible, to minimize the number of times that students with special education needs must be shuffled from school to school over their years at TDSB. If students without disabilities were subjected to the amount of school shuffling that students with special education needs must undergo, their families would not tolerate it.</w:t>
      </w:r>
    </w:p>
    <w:p w:rsidR="00597BD4" w:rsidRPr="003C355E" w:rsidRDefault="00597BD4" w:rsidP="00966D79">
      <w:pPr>
        <w:widowControl w:val="0"/>
        <w:rPr>
          <w:rFonts w:ascii="Arial" w:hAnsi="Arial"/>
        </w:rPr>
      </w:pPr>
    </w:p>
    <w:p w:rsidR="00597BD4" w:rsidRPr="003C355E" w:rsidRDefault="00597BD4" w:rsidP="00966D79">
      <w:pPr>
        <w:widowControl w:val="0"/>
        <w:outlineLvl w:val="1"/>
        <w:rPr>
          <w:rFonts w:ascii="Arial" w:hAnsi="Arial"/>
          <w:b/>
          <w:bCs/>
        </w:rPr>
      </w:pPr>
      <w:r w:rsidRPr="003C355E">
        <w:rPr>
          <w:rFonts w:ascii="Arial" w:hAnsi="Arial"/>
          <w:b/>
          <w:bCs/>
        </w:rPr>
        <w:t xml:space="preserve">Recommendations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To supplement the four motions it passed on June 13, 2016, the TDSB Special Education Advisory Committee therefore recommends as follows: </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1. Adopt an Effective Definition of "Inclusion"</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should adopt an effective definition of "inclusive education" for students with special education needs. It should define inclusion with regard to the purpose for education, set out in the Education Act, which provides:</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"The purpose of education is to provide students with the opportunity to realize their potential and develop into highly skilled, knowledgeable, caring citizens who contribute to their society."</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The "inclusion" definition should use either/or a combination of these definitions, and draw on Article 24 of the United Nations' Convention on the Rights of Persons with Disabilities (set out at the end of this Motion):</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(From the Canadian Association for Community Living) Inclusive education occurs when ALL students attend and are welcomed into their neighbourhood schools in age-appropriate regular classes and are supported to learn, contribute to and participate in all aspects of the life of the school. As well, all students are challenged to meet their unique intellectual, social, physical and career development goals.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(From Disability is Natural): 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2. Comprehensive Inclusion Strategy Should Cover Students with Any Kind of Disability</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should adopt a comprehensive new Inclusion Strategy. It should include students with any kind of disability whether or not that disability is identified as an "exceptionality" under Ontario's special education laws. For example, it should include students with any mental health condition, whether or not that condition constitutes a behaviour exceptionality under Ontario's special education law.</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3. Comprehensive Inclusion Strategy Should Make Segregation a Last Resort, Consistent with Voluntary Parental Choice, And Should Include Effective Transition Safeguards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The new Inclusion Strategy should include:</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Consistent with voluntary parental choice, students with disabilities should be educated in the least restrictive environment with needed educational accommodations promptly put in place. Segregation of a student with a disability should be the last resort. It should only occur with parental consent, and after all less restrictive alternatives have been considered and rejected. Where TDSB proposes placement of a student with a disability in a segregated classroom, it should justify this by showing that it cannot effectively accommodate the student's full learning needs in a regular classroom setting, even by segregation for part of the school day and placement in the regular classroom for the rest of the school day.</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Subject to paragraph 9c) below, 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 with reasons addressing the test in paragraph (a), and to tell the family that it has the right to promptly receive the principal's reasons in writing.</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Parental choice should prevail in such placement decisions. However, parental choice should be truly voluntary, free of actual or perceived pressure. For example, a parental decision to agree to placement in a segregated class may not be truly voluntary, if parents have been told that their child will receive more support or disability accommodations in a segregated class than in a regular class.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d) </w:t>
      </w:r>
      <w:r w:rsidRPr="003C355E">
        <w:rPr>
          <w:rFonts w:ascii="Arial" w:hAnsi="Arial"/>
        </w:rPr>
        <w:tab/>
        <w:t>There should never be a one-size-fits-all approach to meeting the needs of students with special education needs. The approach should always be tailored to an individual student's learning needs.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e) </w:t>
      </w:r>
      <w:r w:rsidRPr="003C355E">
        <w:rPr>
          <w:rFonts w:ascii="Arial" w:hAnsi="Arial"/>
        </w:rPr>
        <w:tab/>
        <w:t>Where a segregated class placement is proposed, TDSB should provide a multi-year plan aiming, consistent with the student's needs and parental choice, at progressing to placement in a regular class.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f) </w:t>
      </w:r>
      <w:r w:rsidRPr="003C355E">
        <w:rPr>
          <w:rFonts w:ascii="Arial" w:hAnsi="Arial"/>
        </w:rPr>
        <w:tab/>
        <w:t>This Recommendation 3 pertains to students with disabilities. TDSB should also develop policies and practices regarding inclusion of gifted students tailored to their specific needs, in consultation with those who advocate for gifted students.</w:t>
      </w:r>
    </w:p>
    <w:p w:rsidR="00597BD4" w:rsidRPr="003C355E" w:rsidRDefault="00597BD4" w:rsidP="00966D79">
      <w:pPr>
        <w:widowControl w:val="0"/>
        <w:rPr>
          <w:rFonts w:ascii="Arial" w:hAnsi="Arial"/>
        </w:rPr>
      </w:pPr>
    </w:p>
    <w:p w:rsidR="00597BD4" w:rsidRPr="003C355E" w:rsidRDefault="00597BD4" w:rsidP="00966D79">
      <w:pPr>
        <w:pStyle w:val="Heading3"/>
        <w:keepNext w:val="0"/>
        <w:keepLines w:val="0"/>
        <w:widowControl w:val="0"/>
        <w:spacing w:before="0"/>
        <w:rPr>
          <w:rFonts w:ascii="Arial" w:hAnsi="Arial"/>
        </w:rPr>
      </w:pPr>
      <w:r w:rsidRPr="003C355E">
        <w:rPr>
          <w:rFonts w:ascii="Arial" w:hAnsi="Arial"/>
        </w:rPr>
        <w:t>Recommendation 4. TDSB Should Create a Major Organizational Change Transition Plan</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To transition away from a TDSB rate of segregating students with special education needs that is more than triple the provincial average, TDSB needs to put in place a major transition plan, to create major organizational change from top to bottom, including:</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Time lines for action;</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Effective monitoring of progress and public accountability measures, including periodic reporting to TDSB trustees and to SEAC (at least semi-annually);</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Strong, monitored transition safeguards to ensure that no students with special education needs are put in a worse position as a result of the new Inclusion Strategy. This should include, among other things, TDSB officials who are independent of the student's school, checking with the family during the transition period to monitor that the transition is working effectively.</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5. Identify TDSB Accessibility Barriers and Develop Comprehensive Action Plan and Timelines for Barrier Removal and Prevention</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TDSB should systematically review its educational programming, services, facilities and equipment to identify recurring accessibility barriers within TDSB that can impede the effective inclusion of students with disabilities. A comprehensive plan for removing and preventing these accessibility barriers should be developed with clear time lines, clear assignment of responsibilities for action, monitoring for progress, and reporting to TDSB trustees and to SEAC. To fulfill its barrier removal/prevention obligations under the Ontario Human Rights Code, TDSB should look for accessibility barriers far beyond the built environment accessibility barriers and digital accessibility barriers addressed in SEAC's June 13, 2016 motions, and beyond those accessibility barriers addressed in accessibility standards enacted to date under the Accessibility for Ontarians with Disabilities Act. This plan should aim at all accessibility barriers that can impede students with disabilities from full inclusion at TDSB, many of which are identified in this Motion. </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6. Rename and Re-define Misnamed Intensive Support Programs</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should promptly rename and update its descriptions of its "Developmental Disabilities" and "Mild Intellectual Disabilities" Intensive Programs. It should assign to them and publicize new names and descriptions of eligibility for them that are accurate and current.</w:t>
      </w:r>
    </w:p>
    <w:p w:rsidR="00597BD4" w:rsidRPr="003C355E" w:rsidRDefault="00597BD4" w:rsidP="00966D79">
      <w:pPr>
        <w:widowControl w:val="0"/>
        <w:rPr>
          <w:rFonts w:ascii="Arial" w:hAnsi="Arial"/>
        </w:rPr>
      </w:pPr>
      <w:r w:rsidRPr="003C355E">
        <w:rPr>
          <w:rFonts w:ascii="Arial" w:hAnsi="Arial"/>
        </w:rPr>
        <w:t xml:space="preserve"> </w:t>
      </w:r>
    </w:p>
    <w:p w:rsidR="00597BD4" w:rsidRPr="003C355E" w:rsidRDefault="00597BD4" w:rsidP="00966D79">
      <w:pPr>
        <w:widowControl w:val="0"/>
        <w:outlineLvl w:val="2"/>
        <w:rPr>
          <w:rFonts w:ascii="Arial" w:hAnsi="Arial"/>
          <w:b/>
          <w:bCs/>
        </w:rPr>
      </w:pPr>
      <w:r w:rsidRPr="003C355E">
        <w:rPr>
          <w:rFonts w:ascii="Arial" w:hAnsi="Arial"/>
          <w:b/>
          <w:bCs/>
        </w:rPr>
        <w:t xml:space="preserve">Recommendation 7. Phase Out Schools that Are Entirely Segregated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TDSB should develop and implement a long-term plan to ensure that none of its schools is entirely segregated exclusively for students with disabilities. This should be done over a reasonable time. It should be done without displacing any students now situated in one of those schools absent the consent of the student or their family. In the interim, TDSB should create as many opportunities as it can for students in those segregated schools to learn and interact with students without disabilities during the school day, with an emphasis on working towards those students' future employment opportunities. </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8. Implement Strategies to Substantially Reduce the Shuffling of Students with Special Education Needs From School to School Over Their TDSB Years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should implement a strategy to substantially reduce the shuffling of students with special education needs from one school to another over their TDSB years. For example:</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 xml:space="preserve">If a student, attending a school other than their home school, for an Intensive Support Program, is prepared to shift to inclusion in a fulltime regular classroom, then consistent with parental agreement, the student should have the option of remaining at the same school as the ISP, and treating it as their home school. </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Where possible, TDSB should locate in the same school a combination of two Intensive Support Program classes that involve different levels of support. This would enable a student to progress towards a regular class setting in that school, without having to switch schools in order to switch to a different level of Intensive Support Program. It would also enable a student, where appropriate, to spend part of a school day in one program and another part of the school day in another program, to best meet the student's needs. For example, TDSB should aim to locate one of the more intensive programs (such as the one now called a Developmental disability class) at the same school as one involving less intense support (such as the program now called a Mild Intellectual Disabilities class).</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9. Ensure Universal Design in Learning Is Used in Regular Classrooms Across TDSB</w:t>
      </w:r>
    </w:p>
    <w:p w:rsidR="00597BD4" w:rsidRPr="003C355E" w:rsidRDefault="00597BD4" w:rsidP="00966D79">
      <w:pPr>
        <w:widowControl w:val="0"/>
        <w:rPr>
          <w:rFonts w:ascii="Arial" w:hAnsi="Arial"/>
        </w:rPr>
      </w:pPr>
      <w:r w:rsidRPr="003C355E">
        <w:rPr>
          <w:rFonts w:ascii="Arial" w:hAnsi="Arial"/>
        </w:rPr>
        <w:t xml:space="preserve"> </w:t>
      </w:r>
    </w:p>
    <w:p w:rsidR="00597BD4" w:rsidRPr="003C355E" w:rsidRDefault="00597BD4" w:rsidP="00966D79">
      <w:pPr>
        <w:widowControl w:val="0"/>
        <w:rPr>
          <w:rFonts w:ascii="Arial" w:hAnsi="Arial"/>
        </w:rPr>
      </w:pPr>
      <w:r w:rsidRPr="003C355E">
        <w:rPr>
          <w:rFonts w:ascii="Arial" w:hAnsi="Arial"/>
        </w:rPr>
        <w:t xml:space="preserve">TDSB should develop, implement and monitor a plan to ensure that all teachers and teaching staff understand and effectively and consistently use principles of Universal Design in Learning (UDL), and differential instruction, when preparing and implementing lesson plans and other educational programming. For example, </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TDSB should survey its front-line teachers to find out how much they now know about or were trained in UDL and differential instruction, how much they incorporate UDL and differential instruction into their lesson plans, and what supports would assist them to practice UDL and differential instruction in their teaching.</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 xml:space="preserve">TDSB should develop, implement and monitor a comprehensive plan to train its teachers, other teaching staff, and principals on using UDL and differential instruction principles when preparing lesson plans and teaching. Training on UDL and differential instruction should be mandatory, not optional. </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TDSB should include knowledge of UDL and differential instruction principles as an important criterion when recruiting or promoting teachers, other teaching staff and principals.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d) </w:t>
      </w:r>
      <w:r w:rsidRPr="003C355E">
        <w:rPr>
          <w:rFonts w:ascii="Arial" w:hAnsi="Arial"/>
        </w:rPr>
        <w:tab/>
        <w:t>TDSB should develop strategies for monitoring and assessing how effectively UDL and differential instruction are incorporated into lesson plans and other teaching activities on the front lines.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e) </w:t>
      </w:r>
      <w:r w:rsidRPr="003C355E">
        <w:rPr>
          <w:rFonts w:ascii="Arial" w:hAnsi="Arial"/>
        </w:rPr>
        <w:tab/>
        <w:t>TDSB should develop a specific strategy for monitoring and reinforcing the use of UDL and differential instruction in situations where a teacher in a regular classroom has very limited exposure to their students with disabilities e.g. where a student, placed in a segregated class, only spends an hour per day in a regular class.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f) </w:t>
      </w:r>
      <w:r w:rsidRPr="003C355E">
        <w:rPr>
          <w:rFonts w:ascii="Arial" w:hAnsi="Arial"/>
        </w:rPr>
        <w:tab/>
        <w:t>TDSB should review any curriculum, text books and other instructional materials and learning resources used in its schools to ensure that they incorporate principles of UDL.</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g) </w:t>
      </w:r>
      <w:r w:rsidRPr="003C355E">
        <w:rPr>
          <w:rFonts w:ascii="Arial" w:hAnsi="Arial"/>
        </w:rPr>
        <w:tab/>
        <w:t xml:space="preserve">TDSB should ensure that teachers in the areas of science, technology, engineer and math (STEM) have resources and expertise to ensure the accessibility of STEM courses and learning resources. This should include ensuring that any math coaches hired under the new Ontario Government math strategy have the expertise in UDL and differential instruction, to effectively assist teachers in meeting the needs of students with disabilities. </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h) </w:t>
      </w:r>
      <w:r w:rsidRPr="003C355E">
        <w:rPr>
          <w:rFonts w:ascii="Arial" w:hAnsi="Arial"/>
        </w:rPr>
        <w:tab/>
        <w:t>An annual UDL/differential instruction training report should be presented to SEAC and TDSB trustees. It should include the training done in the past year and planned for the following year; including summary of the training content, audiences and learning outcomes.</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10. Tearing Down Counterproductive TDSB Senior Management Silos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should subsume its Special Education Department in the Teaching and Learning department. This would help it become a more integral part of oversight of teaching and learning, not as at present, as a separate department.</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p>
    <w:p w:rsidR="00597BD4" w:rsidRPr="003C355E" w:rsidRDefault="00597BD4" w:rsidP="00966D79">
      <w:pPr>
        <w:widowControl w:val="0"/>
        <w:outlineLvl w:val="2"/>
        <w:rPr>
          <w:rFonts w:ascii="Arial" w:hAnsi="Arial"/>
          <w:b/>
          <w:bCs/>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11. Tearing Down Attitudinal Barriers Against Students with Disabilities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To eliminate attitudinal barriers among students, TDSB employees and some families of TDSB students, TDSB should:</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Develop and implement a multi-year program/curriculum for teaching students, TDSB staff and families of TDSB students, about inclusion and full participation of students with disabilities, tailored to age levels. Because online courses are inadequate for this, where possible, this should include hearing from, meeting and interacting with people with disabilities e.g. at assemblies and/or via guest presentations.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Send information to all families of TDSB students, on TDSB's commitment to inclusion of students with disabilities, and the benefits this brings to all students.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Provide targeted training to all TDSB staff that deal with parents or students, on the importance of inclusion.</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12. Removing Barriers to Participation in Experiential Learning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To ensure that students with disabilities can fully participate in TDSB's experiential learning programs, TDSB should:</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Review its experiential learning programs to identify and remove any accessibility barriers.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 xml:space="preserve">Ensure that its partners who accept TDSB students for experiential learning placements are effectively informed of their duty to accommodate the learning needs of students with disabilities. </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Create and share supports and advice for placement organizations who need assistance to ensure that students with disabilities can fully participate in their experiential learning opportunities.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d) </w:t>
      </w:r>
      <w:r w:rsidRPr="003C355E">
        <w:rPr>
          <w:rFonts w:ascii="Arial" w:hAnsi="Arial"/>
        </w:rPr>
        <w:tab/>
        <w:t>Monitor placement organizations to ensure they have someone in place to ensure that students with disabilities are effectively accommodated, and to ensure that effective accommodation was provided during each placement of a student with a disability who needed accommodation.</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e) </w:t>
      </w:r>
      <w:r w:rsidRPr="003C355E">
        <w:rPr>
          <w:rFonts w:ascii="Arial" w:hAnsi="Arial"/>
        </w:rPr>
        <w:tab/>
        <w:t>Survey students with disabilities and experiential learning placement organizations at the end of any experiential learning placements to see if disability-related needs were effectively accommodated.</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p>
    <w:p w:rsidR="00597BD4" w:rsidRPr="003C355E" w:rsidRDefault="00597BD4" w:rsidP="00966D79">
      <w:pPr>
        <w:widowControl w:val="0"/>
        <w:outlineLvl w:val="2"/>
        <w:rPr>
          <w:rFonts w:ascii="Arial" w:hAnsi="Arial"/>
          <w:b/>
          <w:bCs/>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13. Ensuring French Immersion and Other Specialized Programs Are Barrier-Free for Students with Disabilities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should develop, implement and monitor a strategy to ensure that French Immersion and other specialized programs are accessible to and barrier-free for students with disabilities, including:</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Identifying what percentage of the students in these programs are students with disabilities, to document any under-participation;</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Review the admission process for gaining entry to these programs, for accessibility barriers;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Review the choice of the buildings where these programs are to be delivered to ensure that students with disabilities will be able to physically attend these programs.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d) </w:t>
      </w:r>
      <w:r w:rsidRPr="003C355E">
        <w:rPr>
          <w:rFonts w:ascii="Arial" w:hAnsi="Arial"/>
        </w:rPr>
        <w:tab/>
        <w:t>Identify what efforts TDSB now makes to ensure that students with disabilities are accommodated in these programs, and the extent to which UDL and differential instruction principles are used in the teaching in these programs;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e) </w:t>
      </w:r>
      <w:r w:rsidRPr="003C355E">
        <w:rPr>
          <w:rFonts w:ascii="Arial" w:hAnsi="Arial"/>
        </w:rPr>
        <w:tab/>
        <w:t>Develop an action plan to address any accessibility and inclusion shortfalls;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f) </w:t>
      </w:r>
      <w:r w:rsidRPr="003C355E">
        <w:rPr>
          <w:rFonts w:ascii="Arial" w:hAnsi="Arial"/>
        </w:rPr>
        <w:tab/>
        <w:t xml:space="preserve">Actively publicize to students with disabilities and their families about the opportunities to take part in these programs, and TDSB's willingness to ensure that their accommodation needs will be met. </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g) </w:t>
      </w:r>
      <w:r w:rsidRPr="003C355E">
        <w:rPr>
          <w:rFonts w:ascii="Arial" w:hAnsi="Arial"/>
        </w:rPr>
        <w:tab/>
        <w:t>Monitor the effectiveness of efforts to ensure inclusion and accessibility of these programs for TDSB students with disabilities, and report publicly on this, including to TDSB trustees and to SEAC, on an annual basis.</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14. Ensuring Student Testing/Assessment is Free of Disability Barriers</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To ensure that TDSB fairly and accurately assesses the performance of students with disabilities, TDSB should: </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Give its teachers and principals training resources on how to ensure a test is a fair, accurate and barrier-free assessment for students with disabilities in their class, and where needed, how to provide an alternative evaluation method.</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Set guidelines for proper approaches to ensuring tests provide a fair, accurate and barrier-free assessment of students with disabilities, and on when and how to provide an alternative evaluation method.</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Monitor implementation of these guidelines.</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15. </w:t>
      </w:r>
      <w:bookmarkStart w:id="0" w:name="Start"/>
      <w:bookmarkStart w:id="1" w:name="Complete"/>
      <w:bookmarkEnd w:id="0"/>
      <w:bookmarkEnd w:id="1"/>
      <w:r w:rsidRPr="003C355E">
        <w:rPr>
          <w:rFonts w:ascii="Arial" w:hAnsi="Arial"/>
          <w:b/>
          <w:bCs/>
        </w:rPr>
        <w:t xml:space="preserve">Ensuring Students with Disabilities Can Bring Service Animals to School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Because students on the autism spectrum have reported difficulties at some school boards with being allowed to bring a service animal to school, and have even had to take action before the Human Rights Tribunal against a school board, TDSB should ensure it has a fair protocol to ensure that students with disabilities who need a trained service animal are able to bring them to school, and respects the student's rights under the Ontario Human Rights Code. TDSB should also ensure that principals, teachers, school office staff and families of students with disabilities know about this policy.</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16. Ensuring Accessibility of Instructional Materials that Students with Disabilities Use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To ensure that instructional materials used at TDSB are fully accessible on a timely basis to students with disabilities such as vision loss and those with learning disabilities that affect reading, TDSB should:</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 xml:space="preserve">Survey students with disabilities who need accessible instructional materials, and their teachers and families, to get their front-line experiences on whether they get timely access to accessible instructional materials and </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Establish a dedicated resource to convert instructional materials to an accessible format, where needed, on a timely basis. It is insufficient to place this workload on TDSB's staff who work with students with vision loss.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Review its procurement practices to ensure that any new instructional material that is acquired is fully accessible or conversion-ready, and monitor to ensure that this is always done in practice.</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17. Ensuring Accessibility of Gym, Playground and Like Equipment</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To ensure that gym equipment, playground equipment and other like equipment and facilities are accessible for students with disabilities, TDSB should:</w:t>
      </w:r>
    </w:p>
    <w:p w:rsidR="00597BD4" w:rsidRPr="003C355E" w:rsidRDefault="00597BD4" w:rsidP="00966D79">
      <w:pPr>
        <w:widowControl w:val="0"/>
        <w:rPr>
          <w:rFonts w:ascii="Arial" w:hAnsi="Arial"/>
        </w:rPr>
      </w:pPr>
      <w:bookmarkStart w:id="2" w:name="_GoBack"/>
      <w:bookmarkEnd w:id="2"/>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Take an inventory of the accessibility of its existing gym and playground equipment.</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Adopt a policy on specific requirements to ensure accessibility for new gym or playground equipment, in consultation with SEAC, and widely with families of students with disabilities;</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c) </w:t>
      </w:r>
      <w:r w:rsidRPr="003C355E">
        <w:rPr>
          <w:rFonts w:ascii="Arial" w:hAnsi="Arial"/>
        </w:rPr>
        <w:tab/>
        <w:t>Implement effective measures to ensure this procurement policy is followed and enforced.</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18. Implement Human Resources Policies and Practices to Expand TDSB Staff Knowledge and Skills Regarding Inclusion</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should develop and implement human resources policies targeting at inclusion, such as:</w:t>
      </w:r>
    </w:p>
    <w:p w:rsidR="00597BD4" w:rsidRPr="003C355E" w:rsidRDefault="00597BD4" w:rsidP="00966D79">
      <w:pPr>
        <w:widowControl w:val="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a) </w:t>
      </w:r>
      <w:r w:rsidRPr="003C355E">
        <w:rPr>
          <w:rFonts w:ascii="Arial" w:hAnsi="Arial"/>
        </w:rPr>
        <w:tab/>
        <w:t>Making knowledge and experience on implementing inclusion an important hiring and promotions criterion especially for principals, vice-principals and teaching staff;</w:t>
      </w:r>
    </w:p>
    <w:p w:rsidR="00597BD4" w:rsidRPr="003C355E" w:rsidRDefault="00597BD4" w:rsidP="003C355E">
      <w:pPr>
        <w:widowControl w:val="0"/>
        <w:ind w:left="540" w:hanging="360"/>
        <w:rPr>
          <w:rFonts w:ascii="Arial" w:hAnsi="Arial"/>
        </w:rPr>
      </w:pPr>
    </w:p>
    <w:p w:rsidR="00597BD4" w:rsidRPr="003C355E" w:rsidRDefault="00597BD4" w:rsidP="003C355E">
      <w:pPr>
        <w:widowControl w:val="0"/>
        <w:ind w:left="540" w:hanging="360"/>
        <w:rPr>
          <w:rFonts w:ascii="Arial" w:hAnsi="Arial"/>
        </w:rPr>
      </w:pPr>
      <w:r w:rsidRPr="003C355E">
        <w:rPr>
          <w:rFonts w:ascii="Arial" w:hAnsi="Arial"/>
        </w:rPr>
        <w:t xml:space="preserve">b) </w:t>
      </w:r>
      <w:r w:rsidRPr="003C355E">
        <w:rPr>
          <w:rFonts w:ascii="Arial" w:hAnsi="Arial"/>
        </w:rPr>
        <w:tab/>
        <w:t>Emphasizing inclusion knowledge and performance in any performance management and performance reviews at TDSB.</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19. Finding Out What Has Worked on Inclusion Elsewhere</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TDSB should extensively investigate effective practices in all the areas addressed in this motion, at other school boards in Canada, the U.S. and elsewhere. This should include investigating school boards that have successfully made major transitions in the direction of more inclusion and less segregation of students with disabilities. Where feasible, TDSB should make its research public, and available to trustees and SEAC.</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 xml:space="preserve">Recommendation 20. Establishing a TDSB Chief Accessibility Officer </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TDSB should establish the position of Chief Accessibility/Inclusion Officer, reporting to the Director of Education, with a mandate and responsibility to ensure proper leadership on the matters in this motion, as well as the four motions which SEAC passed on June 13, 2016, and to help TDSB ensure that it provides a fully accessible workplace for employees with disabilities. </w:t>
      </w:r>
    </w:p>
    <w:p w:rsidR="00597BD4" w:rsidRPr="003C355E" w:rsidRDefault="00597BD4" w:rsidP="00966D79">
      <w:pPr>
        <w:widowControl w:val="0"/>
        <w:rPr>
          <w:rFonts w:ascii="Arial" w:hAnsi="Arial"/>
        </w:rPr>
      </w:pPr>
    </w:p>
    <w:p w:rsidR="00597BD4" w:rsidRPr="003C355E" w:rsidRDefault="00597BD4" w:rsidP="00966D79">
      <w:pPr>
        <w:widowControl w:val="0"/>
        <w:outlineLvl w:val="2"/>
        <w:rPr>
          <w:rFonts w:ascii="Arial" w:hAnsi="Arial"/>
          <w:b/>
          <w:bCs/>
        </w:rPr>
      </w:pPr>
      <w:r w:rsidRPr="003C355E">
        <w:rPr>
          <w:rFonts w:ascii="Arial" w:hAnsi="Arial"/>
          <w:b/>
          <w:bCs/>
        </w:rPr>
        <w:t>Recommendation 21. TDSB Regularly Reporting to the TDSB Board, to SEAC and to the Public on Plans and Progress</w:t>
      </w:r>
    </w:p>
    <w:p w:rsidR="00597BD4" w:rsidRPr="003C355E" w:rsidRDefault="00597BD4" w:rsidP="00966D79">
      <w:pPr>
        <w:widowControl w:val="0"/>
        <w:rPr>
          <w:rFonts w:ascii="Arial" w:hAnsi="Arial"/>
        </w:rPr>
      </w:pPr>
    </w:p>
    <w:p w:rsidR="00597BD4" w:rsidRPr="003C355E" w:rsidRDefault="00597BD4" w:rsidP="00966D79">
      <w:pPr>
        <w:widowControl w:val="0"/>
        <w:rPr>
          <w:rFonts w:ascii="Arial" w:hAnsi="Arial"/>
        </w:rPr>
      </w:pPr>
      <w:r w:rsidRPr="003C355E">
        <w:rPr>
          <w:rFonts w:ascii="Arial" w:hAnsi="Arial"/>
        </w:rPr>
        <w:t xml:space="preserve">TDSB should establish a time line for action, including key interim milestones, on these motions. It should establish a schedule for regularly reporting to the TDSB Board, to SEAC, to any other related governance bodies and to the public, on its plans to implement this motion, and for periodically reporting on progress, with this reporting to begin no later than six months after the date of this motion. </w:t>
      </w:r>
    </w:p>
    <w:sectPr w:rsidR="00597BD4" w:rsidRPr="003C355E" w:rsidSect="00113F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D4" w:rsidRDefault="00597BD4" w:rsidP="009533DE">
      <w:r>
        <w:separator/>
      </w:r>
    </w:p>
  </w:endnote>
  <w:endnote w:type="continuationSeparator" w:id="0">
    <w:p w:rsidR="00597BD4" w:rsidRDefault="00597BD4" w:rsidP="00953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4" w:rsidRDefault="00597BD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4" w:rsidRDefault="00597BD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4" w:rsidRDefault="00597BD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D4" w:rsidRDefault="00597BD4" w:rsidP="009533DE">
      <w:r>
        <w:separator/>
      </w:r>
    </w:p>
  </w:footnote>
  <w:footnote w:type="continuationSeparator" w:id="0">
    <w:p w:rsidR="00597BD4" w:rsidRDefault="00597BD4" w:rsidP="009533D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4" w:rsidRDefault="00597BD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4" w:rsidRDefault="00597BD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4" w:rsidRDefault="00597B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727"/>
    <w:rsid w:val="00015AFB"/>
    <w:rsid w:val="00015CE6"/>
    <w:rsid w:val="00016056"/>
    <w:rsid w:val="00022317"/>
    <w:rsid w:val="00026D76"/>
    <w:rsid w:val="00032050"/>
    <w:rsid w:val="00032BDB"/>
    <w:rsid w:val="0003651F"/>
    <w:rsid w:val="00041622"/>
    <w:rsid w:val="00043D04"/>
    <w:rsid w:val="000445A9"/>
    <w:rsid w:val="00044766"/>
    <w:rsid w:val="00050248"/>
    <w:rsid w:val="00050DA2"/>
    <w:rsid w:val="000512D6"/>
    <w:rsid w:val="000532C0"/>
    <w:rsid w:val="0005544A"/>
    <w:rsid w:val="000602C8"/>
    <w:rsid w:val="000640E9"/>
    <w:rsid w:val="00065E98"/>
    <w:rsid w:val="000721D1"/>
    <w:rsid w:val="00073259"/>
    <w:rsid w:val="00076DD9"/>
    <w:rsid w:val="00077F97"/>
    <w:rsid w:val="00080196"/>
    <w:rsid w:val="00080854"/>
    <w:rsid w:val="00083ABB"/>
    <w:rsid w:val="00091244"/>
    <w:rsid w:val="00096A90"/>
    <w:rsid w:val="000970B4"/>
    <w:rsid w:val="00097FD5"/>
    <w:rsid w:val="000A253B"/>
    <w:rsid w:val="000A6483"/>
    <w:rsid w:val="000B30E5"/>
    <w:rsid w:val="000B3D11"/>
    <w:rsid w:val="000B4A49"/>
    <w:rsid w:val="000C1BBE"/>
    <w:rsid w:val="000D2A53"/>
    <w:rsid w:val="000D40F7"/>
    <w:rsid w:val="000E0035"/>
    <w:rsid w:val="000E05F8"/>
    <w:rsid w:val="000E0CF6"/>
    <w:rsid w:val="000E2297"/>
    <w:rsid w:val="000E33BA"/>
    <w:rsid w:val="000E4103"/>
    <w:rsid w:val="000E64E8"/>
    <w:rsid w:val="000E6AF5"/>
    <w:rsid w:val="000E6C5D"/>
    <w:rsid w:val="000F6125"/>
    <w:rsid w:val="00102B8A"/>
    <w:rsid w:val="00103C0F"/>
    <w:rsid w:val="00104BEA"/>
    <w:rsid w:val="00106B16"/>
    <w:rsid w:val="00112691"/>
    <w:rsid w:val="00113FFE"/>
    <w:rsid w:val="0011688F"/>
    <w:rsid w:val="00121841"/>
    <w:rsid w:val="001238CB"/>
    <w:rsid w:val="00126F79"/>
    <w:rsid w:val="00132BB8"/>
    <w:rsid w:val="00136C0E"/>
    <w:rsid w:val="00137623"/>
    <w:rsid w:val="00137E5C"/>
    <w:rsid w:val="00142D8C"/>
    <w:rsid w:val="00142F8F"/>
    <w:rsid w:val="00147E77"/>
    <w:rsid w:val="0015025F"/>
    <w:rsid w:val="00150A35"/>
    <w:rsid w:val="00151309"/>
    <w:rsid w:val="00153AFA"/>
    <w:rsid w:val="00153E41"/>
    <w:rsid w:val="00155D4E"/>
    <w:rsid w:val="00162EE4"/>
    <w:rsid w:val="0016385F"/>
    <w:rsid w:val="00164C10"/>
    <w:rsid w:val="00185835"/>
    <w:rsid w:val="00190CDD"/>
    <w:rsid w:val="00191CA9"/>
    <w:rsid w:val="00192961"/>
    <w:rsid w:val="00192B45"/>
    <w:rsid w:val="001A29F2"/>
    <w:rsid w:val="001A47AC"/>
    <w:rsid w:val="001A59C7"/>
    <w:rsid w:val="001A614C"/>
    <w:rsid w:val="001B0723"/>
    <w:rsid w:val="001B093B"/>
    <w:rsid w:val="001B19EF"/>
    <w:rsid w:val="001D5C4F"/>
    <w:rsid w:val="001D7F2D"/>
    <w:rsid w:val="001E0790"/>
    <w:rsid w:val="001E1042"/>
    <w:rsid w:val="001E70B0"/>
    <w:rsid w:val="001F023C"/>
    <w:rsid w:val="001F1CA7"/>
    <w:rsid w:val="001F343F"/>
    <w:rsid w:val="001F5570"/>
    <w:rsid w:val="001F64B2"/>
    <w:rsid w:val="002052B5"/>
    <w:rsid w:val="002058EB"/>
    <w:rsid w:val="00205BD5"/>
    <w:rsid w:val="002076ED"/>
    <w:rsid w:val="00212472"/>
    <w:rsid w:val="002138D0"/>
    <w:rsid w:val="00230098"/>
    <w:rsid w:val="002313C7"/>
    <w:rsid w:val="002326E1"/>
    <w:rsid w:val="002350C6"/>
    <w:rsid w:val="00240010"/>
    <w:rsid w:val="00240BDE"/>
    <w:rsid w:val="00244E11"/>
    <w:rsid w:val="00252487"/>
    <w:rsid w:val="0025372C"/>
    <w:rsid w:val="00260E4C"/>
    <w:rsid w:val="00266A63"/>
    <w:rsid w:val="002702B0"/>
    <w:rsid w:val="002720EE"/>
    <w:rsid w:val="002740EC"/>
    <w:rsid w:val="002845BE"/>
    <w:rsid w:val="00285545"/>
    <w:rsid w:val="0028781E"/>
    <w:rsid w:val="002935D9"/>
    <w:rsid w:val="00295520"/>
    <w:rsid w:val="002A5512"/>
    <w:rsid w:val="002B0488"/>
    <w:rsid w:val="002B1D63"/>
    <w:rsid w:val="002B55EF"/>
    <w:rsid w:val="002B6E36"/>
    <w:rsid w:val="002C2E7A"/>
    <w:rsid w:val="002C7B1C"/>
    <w:rsid w:val="002D7604"/>
    <w:rsid w:val="002E2C97"/>
    <w:rsid w:val="002E3999"/>
    <w:rsid w:val="002E41BF"/>
    <w:rsid w:val="002F2A5F"/>
    <w:rsid w:val="002F384C"/>
    <w:rsid w:val="003027D2"/>
    <w:rsid w:val="00303F1A"/>
    <w:rsid w:val="00314C3C"/>
    <w:rsid w:val="00321938"/>
    <w:rsid w:val="003220ED"/>
    <w:rsid w:val="003232CF"/>
    <w:rsid w:val="00327707"/>
    <w:rsid w:val="00336C4F"/>
    <w:rsid w:val="00337A33"/>
    <w:rsid w:val="00345BD7"/>
    <w:rsid w:val="00345C4A"/>
    <w:rsid w:val="003478B2"/>
    <w:rsid w:val="00356CC7"/>
    <w:rsid w:val="00356F97"/>
    <w:rsid w:val="00357467"/>
    <w:rsid w:val="003617D1"/>
    <w:rsid w:val="003632F2"/>
    <w:rsid w:val="00366FB2"/>
    <w:rsid w:val="00367411"/>
    <w:rsid w:val="00373C2E"/>
    <w:rsid w:val="00374727"/>
    <w:rsid w:val="003774F0"/>
    <w:rsid w:val="0038227B"/>
    <w:rsid w:val="003851DE"/>
    <w:rsid w:val="0038568C"/>
    <w:rsid w:val="003A1CDA"/>
    <w:rsid w:val="003A4110"/>
    <w:rsid w:val="003A4C38"/>
    <w:rsid w:val="003A662E"/>
    <w:rsid w:val="003A6E83"/>
    <w:rsid w:val="003B08EE"/>
    <w:rsid w:val="003B12B2"/>
    <w:rsid w:val="003B6254"/>
    <w:rsid w:val="003C1559"/>
    <w:rsid w:val="003C2BEB"/>
    <w:rsid w:val="003C355E"/>
    <w:rsid w:val="003C5D6F"/>
    <w:rsid w:val="003D6824"/>
    <w:rsid w:val="003E0F14"/>
    <w:rsid w:val="003E372C"/>
    <w:rsid w:val="003E42CE"/>
    <w:rsid w:val="003E444B"/>
    <w:rsid w:val="003E52A3"/>
    <w:rsid w:val="003E6430"/>
    <w:rsid w:val="003F0223"/>
    <w:rsid w:val="003F18A3"/>
    <w:rsid w:val="003F2359"/>
    <w:rsid w:val="003F362A"/>
    <w:rsid w:val="003F3A1D"/>
    <w:rsid w:val="003F4C23"/>
    <w:rsid w:val="00400B38"/>
    <w:rsid w:val="00403A9E"/>
    <w:rsid w:val="00403B2C"/>
    <w:rsid w:val="00414713"/>
    <w:rsid w:val="004147A5"/>
    <w:rsid w:val="00422F02"/>
    <w:rsid w:val="004257A1"/>
    <w:rsid w:val="00427ADA"/>
    <w:rsid w:val="00430CB0"/>
    <w:rsid w:val="004314F9"/>
    <w:rsid w:val="004349EA"/>
    <w:rsid w:val="0043683F"/>
    <w:rsid w:val="004373A9"/>
    <w:rsid w:val="00446F6E"/>
    <w:rsid w:val="00450055"/>
    <w:rsid w:val="00453892"/>
    <w:rsid w:val="00462B1A"/>
    <w:rsid w:val="00470516"/>
    <w:rsid w:val="004726AA"/>
    <w:rsid w:val="00472B2A"/>
    <w:rsid w:val="00475BD6"/>
    <w:rsid w:val="004768AD"/>
    <w:rsid w:val="0049790D"/>
    <w:rsid w:val="004A03BE"/>
    <w:rsid w:val="004A07A0"/>
    <w:rsid w:val="004A37DE"/>
    <w:rsid w:val="004A66D6"/>
    <w:rsid w:val="004B5B22"/>
    <w:rsid w:val="004B7B2F"/>
    <w:rsid w:val="004C2083"/>
    <w:rsid w:val="004C4023"/>
    <w:rsid w:val="004C424B"/>
    <w:rsid w:val="004C4898"/>
    <w:rsid w:val="004D13C9"/>
    <w:rsid w:val="004D3BCB"/>
    <w:rsid w:val="004D514E"/>
    <w:rsid w:val="004D6B23"/>
    <w:rsid w:val="004E0788"/>
    <w:rsid w:val="004E22C8"/>
    <w:rsid w:val="004F5980"/>
    <w:rsid w:val="004F7C79"/>
    <w:rsid w:val="004F7F5C"/>
    <w:rsid w:val="00502C6C"/>
    <w:rsid w:val="00503E7E"/>
    <w:rsid w:val="0050494C"/>
    <w:rsid w:val="005052F0"/>
    <w:rsid w:val="00507B87"/>
    <w:rsid w:val="005138FE"/>
    <w:rsid w:val="00514E21"/>
    <w:rsid w:val="00523E7B"/>
    <w:rsid w:val="00524392"/>
    <w:rsid w:val="00527747"/>
    <w:rsid w:val="00534384"/>
    <w:rsid w:val="005343C2"/>
    <w:rsid w:val="0053466E"/>
    <w:rsid w:val="00537030"/>
    <w:rsid w:val="00537899"/>
    <w:rsid w:val="005425EC"/>
    <w:rsid w:val="00546E30"/>
    <w:rsid w:val="005505EA"/>
    <w:rsid w:val="005520EE"/>
    <w:rsid w:val="00564A11"/>
    <w:rsid w:val="005661AA"/>
    <w:rsid w:val="00567350"/>
    <w:rsid w:val="00570C77"/>
    <w:rsid w:val="00573B20"/>
    <w:rsid w:val="0057530D"/>
    <w:rsid w:val="00597BD4"/>
    <w:rsid w:val="005A01FE"/>
    <w:rsid w:val="005A4C52"/>
    <w:rsid w:val="005B0835"/>
    <w:rsid w:val="005B6B6E"/>
    <w:rsid w:val="005B7E9D"/>
    <w:rsid w:val="005C076C"/>
    <w:rsid w:val="005C3E8D"/>
    <w:rsid w:val="005D1BFB"/>
    <w:rsid w:val="005D1D0A"/>
    <w:rsid w:val="005D4545"/>
    <w:rsid w:val="005D7676"/>
    <w:rsid w:val="005E15A3"/>
    <w:rsid w:val="005E187F"/>
    <w:rsid w:val="005E4821"/>
    <w:rsid w:val="005E6341"/>
    <w:rsid w:val="00601924"/>
    <w:rsid w:val="00601FB7"/>
    <w:rsid w:val="006020B2"/>
    <w:rsid w:val="00603327"/>
    <w:rsid w:val="00604523"/>
    <w:rsid w:val="00606FF6"/>
    <w:rsid w:val="006070F2"/>
    <w:rsid w:val="006241E0"/>
    <w:rsid w:val="006255EA"/>
    <w:rsid w:val="006258AD"/>
    <w:rsid w:val="00632626"/>
    <w:rsid w:val="00637BDD"/>
    <w:rsid w:val="00640123"/>
    <w:rsid w:val="006523A9"/>
    <w:rsid w:val="00656F60"/>
    <w:rsid w:val="00660525"/>
    <w:rsid w:val="006723F2"/>
    <w:rsid w:val="00683AF9"/>
    <w:rsid w:val="006A0AB0"/>
    <w:rsid w:val="006A1C5B"/>
    <w:rsid w:val="006A3FE8"/>
    <w:rsid w:val="006B29B8"/>
    <w:rsid w:val="006B4FF5"/>
    <w:rsid w:val="006D2207"/>
    <w:rsid w:val="006D2B1D"/>
    <w:rsid w:val="006D32F6"/>
    <w:rsid w:val="006D363F"/>
    <w:rsid w:val="006D41B6"/>
    <w:rsid w:val="006D42AB"/>
    <w:rsid w:val="006E12BE"/>
    <w:rsid w:val="006E75BB"/>
    <w:rsid w:val="006F5047"/>
    <w:rsid w:val="006F5886"/>
    <w:rsid w:val="006F6510"/>
    <w:rsid w:val="006F7868"/>
    <w:rsid w:val="006F7AB7"/>
    <w:rsid w:val="0070723F"/>
    <w:rsid w:val="00707EDF"/>
    <w:rsid w:val="007102ED"/>
    <w:rsid w:val="00710765"/>
    <w:rsid w:val="007150B0"/>
    <w:rsid w:val="00716EA0"/>
    <w:rsid w:val="00720611"/>
    <w:rsid w:val="0072222B"/>
    <w:rsid w:val="00723153"/>
    <w:rsid w:val="007240FD"/>
    <w:rsid w:val="007243C2"/>
    <w:rsid w:val="00727F7C"/>
    <w:rsid w:val="0074261E"/>
    <w:rsid w:val="00743B6D"/>
    <w:rsid w:val="00746C5F"/>
    <w:rsid w:val="00747C46"/>
    <w:rsid w:val="00754047"/>
    <w:rsid w:val="0075528C"/>
    <w:rsid w:val="00755867"/>
    <w:rsid w:val="007570B3"/>
    <w:rsid w:val="00766DFE"/>
    <w:rsid w:val="007740F7"/>
    <w:rsid w:val="00774E39"/>
    <w:rsid w:val="007758DD"/>
    <w:rsid w:val="00780051"/>
    <w:rsid w:val="0078151E"/>
    <w:rsid w:val="007834B3"/>
    <w:rsid w:val="00785716"/>
    <w:rsid w:val="00786029"/>
    <w:rsid w:val="007924FE"/>
    <w:rsid w:val="00795923"/>
    <w:rsid w:val="007A0513"/>
    <w:rsid w:val="007A3BD1"/>
    <w:rsid w:val="007B0694"/>
    <w:rsid w:val="007B3443"/>
    <w:rsid w:val="007B36EC"/>
    <w:rsid w:val="007C7EB4"/>
    <w:rsid w:val="007D6720"/>
    <w:rsid w:val="007E0EE6"/>
    <w:rsid w:val="007F1987"/>
    <w:rsid w:val="007F6377"/>
    <w:rsid w:val="00803D5F"/>
    <w:rsid w:val="008040B2"/>
    <w:rsid w:val="0080686A"/>
    <w:rsid w:val="00807225"/>
    <w:rsid w:val="00823DB3"/>
    <w:rsid w:val="00824211"/>
    <w:rsid w:val="008252EE"/>
    <w:rsid w:val="00832390"/>
    <w:rsid w:val="0083256C"/>
    <w:rsid w:val="00833A58"/>
    <w:rsid w:val="008353EB"/>
    <w:rsid w:val="008362A3"/>
    <w:rsid w:val="00836407"/>
    <w:rsid w:val="0084158C"/>
    <w:rsid w:val="0084308F"/>
    <w:rsid w:val="008510F2"/>
    <w:rsid w:val="00855304"/>
    <w:rsid w:val="008557BC"/>
    <w:rsid w:val="0085778C"/>
    <w:rsid w:val="00861844"/>
    <w:rsid w:val="00874C2E"/>
    <w:rsid w:val="00876126"/>
    <w:rsid w:val="008771AD"/>
    <w:rsid w:val="008861F1"/>
    <w:rsid w:val="0088669D"/>
    <w:rsid w:val="00890ADB"/>
    <w:rsid w:val="00890C29"/>
    <w:rsid w:val="0089185E"/>
    <w:rsid w:val="008B0B80"/>
    <w:rsid w:val="008B5395"/>
    <w:rsid w:val="008B79F5"/>
    <w:rsid w:val="008C0008"/>
    <w:rsid w:val="008C0E20"/>
    <w:rsid w:val="008C1EED"/>
    <w:rsid w:val="008C6866"/>
    <w:rsid w:val="008E0929"/>
    <w:rsid w:val="008E4960"/>
    <w:rsid w:val="008E60C9"/>
    <w:rsid w:val="008F59C7"/>
    <w:rsid w:val="008F692B"/>
    <w:rsid w:val="00905AB6"/>
    <w:rsid w:val="00905C58"/>
    <w:rsid w:val="00910154"/>
    <w:rsid w:val="009139E8"/>
    <w:rsid w:val="00913AF2"/>
    <w:rsid w:val="00921427"/>
    <w:rsid w:val="00921697"/>
    <w:rsid w:val="00930FAD"/>
    <w:rsid w:val="00933782"/>
    <w:rsid w:val="00946D37"/>
    <w:rsid w:val="00950264"/>
    <w:rsid w:val="00952970"/>
    <w:rsid w:val="00953171"/>
    <w:rsid w:val="009533DE"/>
    <w:rsid w:val="0095742D"/>
    <w:rsid w:val="009621F3"/>
    <w:rsid w:val="00962845"/>
    <w:rsid w:val="00966D79"/>
    <w:rsid w:val="00971710"/>
    <w:rsid w:val="00971B6E"/>
    <w:rsid w:val="00972A25"/>
    <w:rsid w:val="00980D93"/>
    <w:rsid w:val="00981120"/>
    <w:rsid w:val="00985FDC"/>
    <w:rsid w:val="00987A6F"/>
    <w:rsid w:val="00987FD1"/>
    <w:rsid w:val="00990DB8"/>
    <w:rsid w:val="00992AFF"/>
    <w:rsid w:val="009955E8"/>
    <w:rsid w:val="0099573C"/>
    <w:rsid w:val="009970F2"/>
    <w:rsid w:val="009A2818"/>
    <w:rsid w:val="009A4AF7"/>
    <w:rsid w:val="009A6A76"/>
    <w:rsid w:val="009A6D60"/>
    <w:rsid w:val="009B1E4F"/>
    <w:rsid w:val="009B30BB"/>
    <w:rsid w:val="009B4C61"/>
    <w:rsid w:val="009B5C01"/>
    <w:rsid w:val="009C01A5"/>
    <w:rsid w:val="009C293D"/>
    <w:rsid w:val="009C4D5B"/>
    <w:rsid w:val="009D043B"/>
    <w:rsid w:val="009D109E"/>
    <w:rsid w:val="009D112B"/>
    <w:rsid w:val="009D4010"/>
    <w:rsid w:val="009E1989"/>
    <w:rsid w:val="009E46A4"/>
    <w:rsid w:val="009E5CB0"/>
    <w:rsid w:val="009E7011"/>
    <w:rsid w:val="009F07B0"/>
    <w:rsid w:val="009F630B"/>
    <w:rsid w:val="00A001CE"/>
    <w:rsid w:val="00A01EBB"/>
    <w:rsid w:val="00A05AA7"/>
    <w:rsid w:val="00A07C2E"/>
    <w:rsid w:val="00A11B92"/>
    <w:rsid w:val="00A12B0C"/>
    <w:rsid w:val="00A13A13"/>
    <w:rsid w:val="00A162F1"/>
    <w:rsid w:val="00A20C3C"/>
    <w:rsid w:val="00A2279D"/>
    <w:rsid w:val="00A26083"/>
    <w:rsid w:val="00A27EE7"/>
    <w:rsid w:val="00A314C9"/>
    <w:rsid w:val="00A33898"/>
    <w:rsid w:val="00A36CEB"/>
    <w:rsid w:val="00A3735D"/>
    <w:rsid w:val="00A42D44"/>
    <w:rsid w:val="00A43459"/>
    <w:rsid w:val="00A47D17"/>
    <w:rsid w:val="00A525CD"/>
    <w:rsid w:val="00A52703"/>
    <w:rsid w:val="00A56895"/>
    <w:rsid w:val="00A607BF"/>
    <w:rsid w:val="00A64774"/>
    <w:rsid w:val="00A675E0"/>
    <w:rsid w:val="00A6788D"/>
    <w:rsid w:val="00A808F1"/>
    <w:rsid w:val="00A83255"/>
    <w:rsid w:val="00A84BD3"/>
    <w:rsid w:val="00A87DDB"/>
    <w:rsid w:val="00A9021E"/>
    <w:rsid w:val="00A92F7A"/>
    <w:rsid w:val="00A93445"/>
    <w:rsid w:val="00AA4F8C"/>
    <w:rsid w:val="00AA7EC1"/>
    <w:rsid w:val="00AB266D"/>
    <w:rsid w:val="00AC15F5"/>
    <w:rsid w:val="00AC29C7"/>
    <w:rsid w:val="00AC40F2"/>
    <w:rsid w:val="00AC4D8A"/>
    <w:rsid w:val="00AC72EC"/>
    <w:rsid w:val="00AD1D19"/>
    <w:rsid w:val="00AD2470"/>
    <w:rsid w:val="00AD5505"/>
    <w:rsid w:val="00AE18E5"/>
    <w:rsid w:val="00AE1F7B"/>
    <w:rsid w:val="00AE2EA3"/>
    <w:rsid w:val="00AE4D75"/>
    <w:rsid w:val="00AE5F9B"/>
    <w:rsid w:val="00B05E06"/>
    <w:rsid w:val="00B23002"/>
    <w:rsid w:val="00B23694"/>
    <w:rsid w:val="00B27B7F"/>
    <w:rsid w:val="00B370FA"/>
    <w:rsid w:val="00B40CA0"/>
    <w:rsid w:val="00B40CB7"/>
    <w:rsid w:val="00B54086"/>
    <w:rsid w:val="00B55D58"/>
    <w:rsid w:val="00B57BD3"/>
    <w:rsid w:val="00B60980"/>
    <w:rsid w:val="00B65D7B"/>
    <w:rsid w:val="00B7006F"/>
    <w:rsid w:val="00B71A3E"/>
    <w:rsid w:val="00B71DDD"/>
    <w:rsid w:val="00B76A0F"/>
    <w:rsid w:val="00B815D1"/>
    <w:rsid w:val="00B84C26"/>
    <w:rsid w:val="00B8501E"/>
    <w:rsid w:val="00B85DD6"/>
    <w:rsid w:val="00B92DEE"/>
    <w:rsid w:val="00B949D9"/>
    <w:rsid w:val="00BA172B"/>
    <w:rsid w:val="00BC14C4"/>
    <w:rsid w:val="00BC42F6"/>
    <w:rsid w:val="00BC5E5C"/>
    <w:rsid w:val="00BD0B1C"/>
    <w:rsid w:val="00BD112A"/>
    <w:rsid w:val="00BE1E8F"/>
    <w:rsid w:val="00BE22CF"/>
    <w:rsid w:val="00BE252D"/>
    <w:rsid w:val="00BE4638"/>
    <w:rsid w:val="00BE592B"/>
    <w:rsid w:val="00BE6B4F"/>
    <w:rsid w:val="00BE6D66"/>
    <w:rsid w:val="00BF4623"/>
    <w:rsid w:val="00BF4857"/>
    <w:rsid w:val="00BF4892"/>
    <w:rsid w:val="00BF575F"/>
    <w:rsid w:val="00C076D1"/>
    <w:rsid w:val="00C1000F"/>
    <w:rsid w:val="00C11041"/>
    <w:rsid w:val="00C16BA1"/>
    <w:rsid w:val="00C16C60"/>
    <w:rsid w:val="00C17E44"/>
    <w:rsid w:val="00C206A6"/>
    <w:rsid w:val="00C21B47"/>
    <w:rsid w:val="00C22A7E"/>
    <w:rsid w:val="00C23F25"/>
    <w:rsid w:val="00C25623"/>
    <w:rsid w:val="00C33BE2"/>
    <w:rsid w:val="00C33C61"/>
    <w:rsid w:val="00C40221"/>
    <w:rsid w:val="00C41020"/>
    <w:rsid w:val="00C42F0E"/>
    <w:rsid w:val="00C45E39"/>
    <w:rsid w:val="00C52A53"/>
    <w:rsid w:val="00C551D9"/>
    <w:rsid w:val="00C573B6"/>
    <w:rsid w:val="00C613FF"/>
    <w:rsid w:val="00C61C6B"/>
    <w:rsid w:val="00C62EA0"/>
    <w:rsid w:val="00C62FAD"/>
    <w:rsid w:val="00C67D20"/>
    <w:rsid w:val="00C731DF"/>
    <w:rsid w:val="00C7567B"/>
    <w:rsid w:val="00C8263A"/>
    <w:rsid w:val="00C83929"/>
    <w:rsid w:val="00C9078B"/>
    <w:rsid w:val="00C9301C"/>
    <w:rsid w:val="00C94748"/>
    <w:rsid w:val="00C95424"/>
    <w:rsid w:val="00CA5CFF"/>
    <w:rsid w:val="00CA6006"/>
    <w:rsid w:val="00CC5CD0"/>
    <w:rsid w:val="00CE66CA"/>
    <w:rsid w:val="00CE6F99"/>
    <w:rsid w:val="00CF27EA"/>
    <w:rsid w:val="00CF731D"/>
    <w:rsid w:val="00D04C47"/>
    <w:rsid w:val="00D062AA"/>
    <w:rsid w:val="00D0714F"/>
    <w:rsid w:val="00D34447"/>
    <w:rsid w:val="00D34533"/>
    <w:rsid w:val="00D4175C"/>
    <w:rsid w:val="00D42956"/>
    <w:rsid w:val="00D45CE7"/>
    <w:rsid w:val="00D57D60"/>
    <w:rsid w:val="00D62060"/>
    <w:rsid w:val="00D63A41"/>
    <w:rsid w:val="00D6422C"/>
    <w:rsid w:val="00D664C1"/>
    <w:rsid w:val="00D72295"/>
    <w:rsid w:val="00D7608B"/>
    <w:rsid w:val="00D8067C"/>
    <w:rsid w:val="00D834FC"/>
    <w:rsid w:val="00D83A04"/>
    <w:rsid w:val="00D8631B"/>
    <w:rsid w:val="00D9374E"/>
    <w:rsid w:val="00D95D29"/>
    <w:rsid w:val="00DB0CBF"/>
    <w:rsid w:val="00DB5C15"/>
    <w:rsid w:val="00DC1DE3"/>
    <w:rsid w:val="00DC246B"/>
    <w:rsid w:val="00DC4850"/>
    <w:rsid w:val="00DC5583"/>
    <w:rsid w:val="00DC7695"/>
    <w:rsid w:val="00DD05E3"/>
    <w:rsid w:val="00DD08D8"/>
    <w:rsid w:val="00DD163B"/>
    <w:rsid w:val="00DD26D7"/>
    <w:rsid w:val="00DE3BB4"/>
    <w:rsid w:val="00DE3FE1"/>
    <w:rsid w:val="00DF3B39"/>
    <w:rsid w:val="00E014BF"/>
    <w:rsid w:val="00E027BA"/>
    <w:rsid w:val="00E1032F"/>
    <w:rsid w:val="00E12653"/>
    <w:rsid w:val="00E1381B"/>
    <w:rsid w:val="00E175A2"/>
    <w:rsid w:val="00E17C57"/>
    <w:rsid w:val="00E214BC"/>
    <w:rsid w:val="00E21B77"/>
    <w:rsid w:val="00E25DAD"/>
    <w:rsid w:val="00E267F0"/>
    <w:rsid w:val="00E27E6B"/>
    <w:rsid w:val="00E30454"/>
    <w:rsid w:val="00E31608"/>
    <w:rsid w:val="00E343D1"/>
    <w:rsid w:val="00E425EC"/>
    <w:rsid w:val="00E44590"/>
    <w:rsid w:val="00E50AB8"/>
    <w:rsid w:val="00E53FA1"/>
    <w:rsid w:val="00E6216E"/>
    <w:rsid w:val="00E6288F"/>
    <w:rsid w:val="00E63AB6"/>
    <w:rsid w:val="00E66068"/>
    <w:rsid w:val="00E70A2A"/>
    <w:rsid w:val="00E70A65"/>
    <w:rsid w:val="00E72D75"/>
    <w:rsid w:val="00E74B04"/>
    <w:rsid w:val="00E76D28"/>
    <w:rsid w:val="00E77B58"/>
    <w:rsid w:val="00E77D2E"/>
    <w:rsid w:val="00E810F8"/>
    <w:rsid w:val="00E82F16"/>
    <w:rsid w:val="00E83758"/>
    <w:rsid w:val="00E840EC"/>
    <w:rsid w:val="00E86175"/>
    <w:rsid w:val="00EA2918"/>
    <w:rsid w:val="00EB1B4F"/>
    <w:rsid w:val="00EB4BF3"/>
    <w:rsid w:val="00EB737A"/>
    <w:rsid w:val="00EB7F3D"/>
    <w:rsid w:val="00EC08FB"/>
    <w:rsid w:val="00EC1F0C"/>
    <w:rsid w:val="00EC31B4"/>
    <w:rsid w:val="00EC6889"/>
    <w:rsid w:val="00EC7B9A"/>
    <w:rsid w:val="00ED3B75"/>
    <w:rsid w:val="00ED557E"/>
    <w:rsid w:val="00ED76B7"/>
    <w:rsid w:val="00EE6F84"/>
    <w:rsid w:val="00EE7EDA"/>
    <w:rsid w:val="00EF1A65"/>
    <w:rsid w:val="00EF63C8"/>
    <w:rsid w:val="00F10119"/>
    <w:rsid w:val="00F113ED"/>
    <w:rsid w:val="00F12072"/>
    <w:rsid w:val="00F14262"/>
    <w:rsid w:val="00F14780"/>
    <w:rsid w:val="00F14F16"/>
    <w:rsid w:val="00F16C33"/>
    <w:rsid w:val="00F179A7"/>
    <w:rsid w:val="00F204D7"/>
    <w:rsid w:val="00F21B97"/>
    <w:rsid w:val="00F235E2"/>
    <w:rsid w:val="00F24206"/>
    <w:rsid w:val="00F2580B"/>
    <w:rsid w:val="00F259FB"/>
    <w:rsid w:val="00F31E2E"/>
    <w:rsid w:val="00F3372C"/>
    <w:rsid w:val="00F40DCB"/>
    <w:rsid w:val="00F477C1"/>
    <w:rsid w:val="00F50CF2"/>
    <w:rsid w:val="00F548EE"/>
    <w:rsid w:val="00F57860"/>
    <w:rsid w:val="00F61ED4"/>
    <w:rsid w:val="00F64AA1"/>
    <w:rsid w:val="00F67BA0"/>
    <w:rsid w:val="00F74F3F"/>
    <w:rsid w:val="00F808ED"/>
    <w:rsid w:val="00F82337"/>
    <w:rsid w:val="00F869EA"/>
    <w:rsid w:val="00F90D7A"/>
    <w:rsid w:val="00FA2F51"/>
    <w:rsid w:val="00FA3E60"/>
    <w:rsid w:val="00FA7A24"/>
    <w:rsid w:val="00FA7F68"/>
    <w:rsid w:val="00FB00FC"/>
    <w:rsid w:val="00FB5DE1"/>
    <w:rsid w:val="00FB758E"/>
    <w:rsid w:val="00FC2978"/>
    <w:rsid w:val="00FC4226"/>
    <w:rsid w:val="00FD0042"/>
    <w:rsid w:val="00FD2ADA"/>
    <w:rsid w:val="00FD3003"/>
    <w:rsid w:val="00FD35D7"/>
    <w:rsid w:val="00FD41C8"/>
    <w:rsid w:val="00FD78CF"/>
    <w:rsid w:val="00FE1EA3"/>
    <w:rsid w:val="00FE617B"/>
    <w:rsid w:val="00FE78C5"/>
    <w:rsid w:val="00FF458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27"/>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semiHidden/>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3927</Words>
  <Characters>22386</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Special Education Advisory Committee</dc:title>
  <dc:subject/>
  <dc:creator>David Lepofsky</dc:creator>
  <cp:keywords/>
  <cp:lastModifiedBy>Carl Ratsep User</cp:lastModifiedBy>
  <cp:revision>2</cp:revision>
  <dcterms:created xsi:type="dcterms:W3CDTF">2017-03-16T19:42:00Z</dcterms:created>
  <dcterms:modified xsi:type="dcterms:W3CDTF">2017-03-16T19:42:00Z</dcterms:modified>
</cp:coreProperties>
</file>