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A4" w:rsidRDefault="00266EA4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53F17" w:rsidRPr="00C53F17" w:rsidTr="00C53F17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C53F17" w:rsidRPr="00C53F17" w:rsidRDefault="00C53F17" w:rsidP="00C53F17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CA"/>
              </w:rPr>
            </w:pPr>
            <w:r w:rsidRPr="00C53F1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C53F17" w:rsidRPr="00C53F17" w:rsidTr="00C53F17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F17" w:rsidRPr="00C53F17" w:rsidRDefault="00C53F17" w:rsidP="00C53F17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C53F17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  <w:lang w:eastAsia="en-CA"/>
              </w:rPr>
              <w:t>School Council Insurance</w:t>
            </w:r>
          </w:p>
        </w:tc>
      </w:tr>
      <w:tr w:rsidR="00C53F17" w:rsidRPr="00C53F17" w:rsidTr="00C53F1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53F17" w:rsidRPr="00C53F17" w:rsidRDefault="00C53F17" w:rsidP="00C53F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C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C53F17" w:rsidRPr="00C53F17" w:rsidTr="00C53F1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C53F17" w:rsidRPr="00C53F17">
              <w:trPr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3F17" w:rsidRPr="00C53F17" w:rsidRDefault="00C53F17" w:rsidP="00C53F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StoneSansIIITCPro-Md"/>
                      <w:b/>
                    </w:rPr>
                  </w:pPr>
                  <w:r w:rsidRPr="00C53F17">
                    <w:rPr>
                      <w:rFonts w:asciiTheme="minorHAnsi" w:hAnsiTheme="minorHAnsi" w:cs="StoneSansIIITCPro-Md"/>
                      <w:b/>
                    </w:rPr>
                    <w:t>Purpose:</w:t>
                  </w:r>
                </w:p>
                <w:p w:rsidR="00C53F17" w:rsidRPr="00C53F17" w:rsidRDefault="00C53F17" w:rsidP="00C53F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StoneSansIIITCPro-Lt"/>
                    </w:rPr>
                  </w:pPr>
                  <w:r w:rsidRPr="00C53F17">
                    <w:rPr>
                      <w:rFonts w:asciiTheme="minorHAnsi" w:hAnsiTheme="minorHAnsi" w:cs="StoneSansIIITCPro-Lt"/>
                    </w:rPr>
                    <w:t>Many school councils are very active in their community and on occasion, part</w:t>
                  </w:r>
                  <w:r>
                    <w:rPr>
                      <w:rFonts w:asciiTheme="minorHAnsi" w:hAnsiTheme="minorHAnsi" w:cs="StoneSansIIITCPro-Lt"/>
                    </w:rPr>
                    <w:t xml:space="preserve">icipate or organize events that </w:t>
                  </w:r>
                  <w:r w:rsidRPr="00C53F17">
                    <w:rPr>
                      <w:rFonts w:asciiTheme="minorHAnsi" w:hAnsiTheme="minorHAnsi" w:cs="StoneSansIIITCPro-Lt"/>
                    </w:rPr>
                    <w:t>are not under the control of the school board. In these situations, the board’s l</w:t>
                  </w:r>
                  <w:r>
                    <w:rPr>
                      <w:rFonts w:asciiTheme="minorHAnsi" w:hAnsiTheme="minorHAnsi" w:cs="StoneSansIIITCPro-Lt"/>
                    </w:rPr>
                    <w:t xml:space="preserve">iability policy may not provide </w:t>
                  </w:r>
                  <w:r w:rsidRPr="00C53F17">
                    <w:rPr>
                      <w:rFonts w:asciiTheme="minorHAnsi" w:hAnsiTheme="minorHAnsi" w:cs="StoneSansIIITCPro-Lt"/>
                    </w:rPr>
                    <w:t>protection to the school council, its members or volunteers acting o</w:t>
                  </w:r>
                  <w:r>
                    <w:rPr>
                      <w:rFonts w:asciiTheme="minorHAnsi" w:hAnsiTheme="minorHAnsi" w:cs="StoneSansIIITCPro-Lt"/>
                    </w:rPr>
                    <w:t xml:space="preserve">n behalf of the school council. </w:t>
                  </w:r>
                  <w:r w:rsidRPr="00C53F17">
                    <w:rPr>
                      <w:rFonts w:asciiTheme="minorHAnsi" w:hAnsiTheme="minorHAnsi" w:cs="StoneSansIIITCPro-Lt"/>
                    </w:rPr>
                    <w:t>As such, it is important to ensure that your school council has appropriate c</w:t>
                  </w:r>
                  <w:r>
                    <w:rPr>
                      <w:rFonts w:asciiTheme="minorHAnsi" w:hAnsiTheme="minorHAnsi" w:cs="StoneSansIIITCPro-Lt"/>
                    </w:rPr>
                    <w:t xml:space="preserve">overage in place to protect the </w:t>
                  </w:r>
                  <w:r w:rsidRPr="00C53F17">
                    <w:rPr>
                      <w:rFonts w:asciiTheme="minorHAnsi" w:hAnsiTheme="minorHAnsi" w:cs="StoneSansIIITCPro-Lt"/>
                    </w:rPr>
                    <w:t>council, its members, and volunteers accordingly.</w:t>
                  </w:r>
                </w:p>
                <w:p w:rsidR="00C53F17" w:rsidRPr="00C53F17" w:rsidRDefault="00C53F17" w:rsidP="00C53F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StoneSansIIITCPro-Md"/>
                    </w:rPr>
                  </w:pPr>
                </w:p>
                <w:p w:rsidR="00C53F17" w:rsidRPr="00C53F17" w:rsidRDefault="00C53F17" w:rsidP="00C53F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StoneSansIIITCPro-Md"/>
                      <w:b/>
                    </w:rPr>
                  </w:pPr>
                  <w:r w:rsidRPr="00C53F17">
                    <w:rPr>
                      <w:rFonts w:asciiTheme="minorHAnsi" w:hAnsiTheme="minorHAnsi" w:cs="StoneSansIIITCPro-Md"/>
                      <w:b/>
                    </w:rPr>
                    <w:t>Examples:</w:t>
                  </w:r>
                </w:p>
                <w:p w:rsidR="00C53F17" w:rsidRPr="00C53F17" w:rsidRDefault="00C53F17" w:rsidP="00C53F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StoneSansIIITCPro-Lt"/>
                    </w:rPr>
                  </w:pPr>
                  <w:r w:rsidRPr="00C53F17">
                    <w:rPr>
                      <w:rFonts w:asciiTheme="minorHAnsi" w:hAnsiTheme="minorHAnsi" w:cs="StoneSansIIITCPro-Lt"/>
                    </w:rPr>
                    <w:t xml:space="preserve">Some examples of events that school councils organize which may not be under </w:t>
                  </w:r>
                  <w:r>
                    <w:rPr>
                      <w:rFonts w:asciiTheme="minorHAnsi" w:hAnsiTheme="minorHAnsi" w:cs="StoneSansIIITCPro-Lt"/>
                    </w:rPr>
                    <w:t xml:space="preserve">the direct control of the board </w:t>
                  </w:r>
                  <w:r w:rsidRPr="00C53F17">
                    <w:rPr>
                      <w:rFonts w:asciiTheme="minorHAnsi" w:hAnsiTheme="minorHAnsi" w:cs="StoneSansIIITCPro-Lt"/>
                    </w:rPr>
                    <w:t>and, therefore, not covered by the board’s policy:</w:t>
                  </w:r>
                </w:p>
                <w:p w:rsidR="00C53F17" w:rsidRPr="00C53F17" w:rsidRDefault="00C53F17" w:rsidP="00C53F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StoneSansIIITCPro-Lt"/>
                    </w:rPr>
                  </w:pPr>
                  <w:r w:rsidRPr="00C53F17">
                    <w:rPr>
                      <w:rFonts w:asciiTheme="minorHAnsi" w:hAnsiTheme="minorHAnsi" w:cs="StoneSansIIITCPro-Lt"/>
                    </w:rPr>
                    <w:t>• Fundraising activities including fun fairs</w:t>
                  </w:r>
                </w:p>
                <w:p w:rsidR="00C53F17" w:rsidRPr="00C53F17" w:rsidRDefault="00C53F17" w:rsidP="00C53F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StoneSansIIITCPro-Lt"/>
                    </w:rPr>
                  </w:pPr>
                  <w:r w:rsidRPr="00C53F17">
                    <w:rPr>
                      <w:rFonts w:asciiTheme="minorHAnsi" w:hAnsiTheme="minorHAnsi" w:cs="StoneSansIIITCPro-Lt"/>
                    </w:rPr>
                    <w:t>• Wine and cheese socials</w:t>
                  </w:r>
                </w:p>
                <w:p w:rsidR="00C53F17" w:rsidRPr="00C53F17" w:rsidRDefault="00C53F17" w:rsidP="00C53F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StoneSansIIITCPro-Lt"/>
                    </w:rPr>
                  </w:pPr>
                  <w:r w:rsidRPr="00C53F17">
                    <w:rPr>
                      <w:rFonts w:asciiTheme="minorHAnsi" w:hAnsiTheme="minorHAnsi" w:cs="StoneSansIIITCPro-Lt"/>
                    </w:rPr>
                    <w:t>• Home coming class reunions (including functions involving alcohol)</w:t>
                  </w:r>
                </w:p>
                <w:p w:rsidR="00C53F17" w:rsidRPr="00C53F17" w:rsidRDefault="00C53F17" w:rsidP="00C53F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StoneSansIIITCPro-Lt"/>
                    </w:rPr>
                  </w:pPr>
                  <w:r w:rsidRPr="00C53F17">
                    <w:rPr>
                      <w:rFonts w:asciiTheme="minorHAnsi" w:hAnsiTheme="minorHAnsi" w:cs="StoneSansIIITCPro-Lt"/>
                    </w:rPr>
                    <w:t>• Santa Clause parades, etc.</w:t>
                  </w:r>
                </w:p>
                <w:p w:rsidR="00C53F17" w:rsidRPr="00C53F17" w:rsidRDefault="00C53F17" w:rsidP="00C53F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StoneSansIIITCPro-LtIt"/>
                      <w:i/>
                      <w:iCs/>
                    </w:rPr>
                  </w:pPr>
                </w:p>
                <w:p w:rsidR="00C53F17" w:rsidRPr="00C53F17" w:rsidRDefault="00C53F17" w:rsidP="00C53F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StoneSansIIITCPro-LtIt"/>
                      <w:i/>
                      <w:iCs/>
                    </w:rPr>
                  </w:pPr>
                  <w:r w:rsidRPr="00C53F17">
                    <w:rPr>
                      <w:rFonts w:asciiTheme="minorHAnsi" w:hAnsiTheme="minorHAnsi" w:cs="StoneSansIIITCPro-LtIt"/>
                      <w:i/>
                      <w:iCs/>
                    </w:rPr>
                    <w:t>When hiring or retaining external vendors (including food and/or liquor services), it is im</w:t>
                  </w:r>
                  <w:r>
                    <w:rPr>
                      <w:rFonts w:asciiTheme="minorHAnsi" w:hAnsiTheme="minorHAnsi" w:cs="StoneSansIIITCPro-LtIt"/>
                      <w:i/>
                      <w:iCs/>
                    </w:rPr>
                    <w:t xml:space="preserve">portant to ensure that evidence </w:t>
                  </w:r>
                  <w:r w:rsidRPr="00C53F17">
                    <w:rPr>
                      <w:rFonts w:asciiTheme="minorHAnsi" w:hAnsiTheme="minorHAnsi" w:cs="StoneSansIIITCPro-LtIt"/>
                      <w:i/>
                      <w:iCs/>
                    </w:rPr>
                    <w:t>of the third party vendor’s commercial general liability insurance coverage is provided to</w:t>
                  </w:r>
                  <w:r>
                    <w:rPr>
                      <w:rFonts w:asciiTheme="minorHAnsi" w:hAnsiTheme="minorHAnsi" w:cs="StoneSansIIITCPro-LtIt"/>
                      <w:i/>
                      <w:iCs/>
                    </w:rPr>
                    <w:t xml:space="preserve"> the school council in the form </w:t>
                  </w:r>
                  <w:r w:rsidRPr="00C53F17">
                    <w:rPr>
                      <w:rFonts w:asciiTheme="minorHAnsi" w:hAnsiTheme="minorHAnsi" w:cs="StoneSansIIITCPro-LtIt"/>
                      <w:i/>
                      <w:iCs/>
                    </w:rPr>
                    <w:t>of a valid certificate of insurance, making sure the school council is also named as addition</w:t>
                  </w:r>
                  <w:r w:rsidRPr="00C53F17">
                    <w:rPr>
                      <w:rFonts w:asciiTheme="minorHAnsi" w:hAnsiTheme="minorHAnsi" w:cs="StoneSansIIITCPro-LtIt"/>
                      <w:i/>
                      <w:iCs/>
                    </w:rPr>
                    <w:t xml:space="preserve">al insured under the third </w:t>
                  </w:r>
                  <w:r w:rsidRPr="00C53F17">
                    <w:rPr>
                      <w:rFonts w:asciiTheme="minorHAnsi" w:hAnsiTheme="minorHAnsi" w:cs="StoneSansIIITCPro-LtIt"/>
                      <w:i/>
                      <w:iCs/>
                    </w:rPr>
                    <w:t>party’s policy.</w:t>
                  </w:r>
                </w:p>
                <w:p w:rsidR="00B5332E" w:rsidRDefault="00B5332E" w:rsidP="00C53F17">
                  <w:pPr>
                    <w:rPr>
                      <w:rFonts w:asciiTheme="minorHAnsi" w:eastAsia="Times New Roman" w:hAnsiTheme="minorHAnsi" w:cs="Times New Roman"/>
                      <w:b/>
                      <w:lang w:eastAsia="en-CA"/>
                    </w:rPr>
                  </w:pPr>
                </w:p>
                <w:p w:rsidR="00C53F17" w:rsidRDefault="00C53F17" w:rsidP="00C53F17">
                  <w:pPr>
                    <w:rPr>
                      <w:rFonts w:asciiTheme="minorHAnsi" w:eastAsia="Times New Roman" w:hAnsiTheme="minorHAnsi" w:cs="Times New Roman"/>
                      <w:u w:val="single"/>
                      <w:lang w:eastAsia="en-CA"/>
                    </w:rPr>
                  </w:pPr>
                  <w:r w:rsidRPr="00C53F17">
                    <w:rPr>
                      <w:rFonts w:asciiTheme="minorHAnsi" w:eastAsia="Times New Roman" w:hAnsiTheme="minorHAnsi" w:cs="Times New Roman"/>
                      <w:b/>
                      <w:lang w:eastAsia="en-CA"/>
                    </w:rPr>
                    <w:t>Resources:</w:t>
                  </w:r>
                  <w:r w:rsidRPr="00C53F17">
                    <w:rPr>
                      <w:rFonts w:asciiTheme="minorHAnsi" w:eastAsia="Times New Roman" w:hAnsiTheme="minorHAnsi" w:cs="Times New Roman"/>
                      <w:lang w:eastAsia="en-CA"/>
                    </w:rPr>
                    <w:br/>
                  </w:r>
                  <w:hyperlink r:id="rId6" w:history="1">
                    <w:r w:rsidRPr="00C53F17">
                      <w:rPr>
                        <w:rFonts w:asciiTheme="minorHAnsi" w:eastAsia="Times New Roman" w:hAnsiTheme="minorHAnsi" w:cs="Times New Roman"/>
                        <w:u w:val="single"/>
                        <w:lang w:eastAsia="en-CA"/>
                      </w:rPr>
                      <w:t>School Councils and Insurance</w:t>
                    </w:r>
                  </w:hyperlink>
                  <w:r w:rsidRPr="00C53F17">
                    <w:rPr>
                      <w:rFonts w:asciiTheme="minorHAnsi" w:eastAsia="Times New Roman" w:hAnsiTheme="minorHAnsi" w:cs="Times New Roman"/>
                      <w:u w:val="single"/>
                      <w:lang w:eastAsia="en-CA"/>
                    </w:rPr>
                    <w:t xml:space="preserve"> Information Sheet</w:t>
                  </w:r>
                </w:p>
                <w:p w:rsidR="00C53F17" w:rsidRPr="00C53F17" w:rsidRDefault="00C53F17" w:rsidP="00C53F17">
                  <w:pPr>
                    <w:rPr>
                      <w:rFonts w:asciiTheme="minorHAnsi" w:eastAsia="Times New Roman" w:hAnsiTheme="minorHAnsi" w:cs="Times New Roman"/>
                      <w:u w:val="single"/>
                      <w:lang w:eastAsia="en-CA"/>
                    </w:rPr>
                  </w:pPr>
                  <w:r w:rsidRPr="00C53F17">
                    <w:rPr>
                      <w:rFonts w:asciiTheme="minorHAnsi" w:eastAsia="Times New Roman" w:hAnsiTheme="minorHAnsi" w:cs="Times New Roman"/>
                      <w:lang w:eastAsia="en-CA"/>
                    </w:rPr>
                    <w:br/>
                  </w:r>
                  <w:r w:rsidRPr="00C53F17">
                    <w:rPr>
                      <w:rFonts w:asciiTheme="minorHAnsi" w:eastAsia="Times New Roman" w:hAnsiTheme="minorHAnsi" w:cs="Times New Roman"/>
                      <w:u w:val="single"/>
                      <w:lang w:eastAsia="en-CA"/>
                    </w:rPr>
                    <w:t>School Council Request Form</w:t>
                  </w:r>
                  <w:r>
                    <w:rPr>
                      <w:rFonts w:asciiTheme="minorHAnsi" w:eastAsia="Times New Roman" w:hAnsiTheme="minorHAnsi" w:cs="Times New Roman"/>
                      <w:u w:val="single"/>
                      <w:lang w:eastAsia="en-CA"/>
                    </w:rPr>
                    <w:t>:</w:t>
                  </w:r>
                  <w:r w:rsidRPr="00C53F17">
                    <w:rPr>
                      <w:rFonts w:asciiTheme="minorHAnsi" w:eastAsia="Times New Roman" w:hAnsiTheme="minorHAnsi" w:cs="Times New Roman"/>
                      <w:u w:val="single"/>
                      <w:lang w:eastAsia="en-CA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="Times New Roman"/>
                      <w:u w:val="single"/>
                      <w:lang w:eastAsia="en-CA"/>
                    </w:rPr>
                    <w:t xml:space="preserve">November 1, </w:t>
                  </w:r>
                  <w:r w:rsidRPr="00C53F17">
                    <w:rPr>
                      <w:rFonts w:asciiTheme="minorHAnsi" w:eastAsia="Times New Roman" w:hAnsiTheme="minorHAnsi" w:cs="Times New Roman"/>
                      <w:u w:val="single"/>
                      <w:lang w:eastAsia="en-CA"/>
                    </w:rPr>
                    <w:t>2016</w:t>
                  </w:r>
                  <w:r>
                    <w:rPr>
                      <w:rFonts w:asciiTheme="minorHAnsi" w:eastAsia="Times New Roman" w:hAnsiTheme="minorHAnsi" w:cs="Times New Roman"/>
                      <w:u w:val="single"/>
                      <w:lang w:eastAsia="en-CA"/>
                    </w:rPr>
                    <w:t xml:space="preserve"> – November 1, </w:t>
                  </w:r>
                  <w:r w:rsidRPr="00C53F17">
                    <w:rPr>
                      <w:rFonts w:asciiTheme="minorHAnsi" w:eastAsia="Times New Roman" w:hAnsiTheme="minorHAnsi" w:cs="Times New Roman"/>
                      <w:u w:val="single"/>
                      <w:lang w:eastAsia="en-CA"/>
                    </w:rPr>
                    <w:t>2017</w:t>
                  </w:r>
                </w:p>
                <w:p w:rsidR="00C53F17" w:rsidRPr="00C53F17" w:rsidRDefault="00C53F17" w:rsidP="00C53F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PreloSlab-Book"/>
                    </w:rPr>
                  </w:pPr>
                </w:p>
                <w:p w:rsidR="00C53F17" w:rsidRPr="00C53F17" w:rsidRDefault="00C53F17" w:rsidP="00C53F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StoneSansIIITCPro-Lt"/>
                    </w:rPr>
                  </w:pPr>
                  <w:r>
                    <w:rPr>
                      <w:rFonts w:asciiTheme="minorHAnsi" w:hAnsiTheme="minorHAnsi" w:cs="StoneSansIIITCPro-Lt"/>
                    </w:rPr>
                    <w:t xml:space="preserve">To purchase coverage please complete the </w:t>
                  </w:r>
                  <w:r w:rsidRPr="00C53F17">
                    <w:rPr>
                      <w:rFonts w:asciiTheme="minorHAnsi" w:hAnsiTheme="minorHAnsi" w:cs="StoneSansIIITCPro-Lt"/>
                    </w:rPr>
                    <w:t xml:space="preserve">attached </w:t>
                  </w:r>
                  <w:r>
                    <w:rPr>
                      <w:rFonts w:asciiTheme="minorHAnsi" w:hAnsiTheme="minorHAnsi" w:cs="StoneSansIIITCPro-Lt"/>
                    </w:rPr>
                    <w:t xml:space="preserve">application form and return back to </w:t>
                  </w:r>
                  <w:r w:rsidRPr="00C53F17">
                    <w:rPr>
                      <w:rFonts w:asciiTheme="minorHAnsi" w:hAnsiTheme="minorHAnsi" w:cs="StoneSansIIITCPro-Lt"/>
                      <w:u w:val="single"/>
                    </w:rPr>
                    <w:t>risk.management@tdsb.on.ca</w:t>
                  </w:r>
                </w:p>
                <w:p w:rsidR="00C53F17" w:rsidRPr="00C53F17" w:rsidRDefault="00C53F17" w:rsidP="00C53F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StoneSansIIITCPro-Lt"/>
                    </w:rPr>
                  </w:pPr>
                </w:p>
                <w:p w:rsidR="00C53F17" w:rsidRDefault="00C53F17" w:rsidP="00C53F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StoneSansIIITCPro-Lt"/>
                    </w:rPr>
                  </w:pPr>
                  <w:r>
                    <w:rPr>
                      <w:rFonts w:asciiTheme="minorHAnsi" w:hAnsiTheme="minorHAnsi" w:cs="StoneSansIIITCPro-Lt"/>
                    </w:rPr>
                    <w:t xml:space="preserve">Should you have policy coverage, risk management or claims related questions or if you would like to purchase additional coverage extensions (refer to exclusions section on the back of this </w:t>
                  </w:r>
                  <w:r w:rsidRPr="00C53F17">
                    <w:rPr>
                      <w:rFonts w:asciiTheme="minorHAnsi" w:hAnsiTheme="minorHAnsi" w:cs="StoneSansIIITCPro-Lt"/>
                    </w:rPr>
                    <w:t>form) please contact:</w:t>
                  </w:r>
                </w:p>
                <w:p w:rsidR="00C53F17" w:rsidRPr="00C53F17" w:rsidRDefault="00C53F17" w:rsidP="00C53F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StoneSansIIITCPro-Lt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0"/>
                    <w:gridCol w:w="2580"/>
                  </w:tblGrid>
                  <w:tr w:rsidR="00C53F17" w:rsidRPr="00C53F17" w:rsidTr="00C53F17">
                    <w:trPr>
                      <w:tblCellSpacing w:w="15" w:type="dxa"/>
                    </w:trPr>
                    <w:tc>
                      <w:tcPr>
                        <w:tcW w:w="3345" w:type="dxa"/>
                        <w:hideMark/>
                      </w:tcPr>
                      <w:p w:rsidR="00C53F17" w:rsidRPr="00C53F17" w:rsidRDefault="00C53F17" w:rsidP="00D303FC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="StoneSansIIITCPro-Md"/>
                            <w:b/>
                          </w:rPr>
                        </w:pPr>
                        <w:r w:rsidRPr="00C53F17">
                          <w:rPr>
                            <w:rFonts w:asciiTheme="minorHAnsi" w:hAnsiTheme="minorHAnsi" w:cs="StoneSansIIITCPro-Md"/>
                            <w:b/>
                          </w:rPr>
                          <w:t>Christopher Russell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53F17" w:rsidRPr="00C53F17" w:rsidRDefault="00C53F17" w:rsidP="00C53F17">
                        <w:pPr>
                          <w:autoSpaceDE w:val="0"/>
                          <w:autoSpaceDN w:val="0"/>
                          <w:adjustRightInd w:val="0"/>
                          <w:ind w:left="-30"/>
                          <w:rPr>
                            <w:rFonts w:asciiTheme="minorHAnsi" w:hAnsiTheme="minorHAnsi" w:cs="StoneSansIIITCPro-Md"/>
                            <w:b/>
                          </w:rPr>
                        </w:pPr>
                        <w:r w:rsidRPr="00C53F17">
                          <w:rPr>
                            <w:rFonts w:asciiTheme="minorHAnsi" w:hAnsiTheme="minorHAnsi" w:cs="StoneSansIIITCPro-Md"/>
                            <w:b/>
                          </w:rPr>
                          <w:t>Sundip Dehal</w:t>
                        </w:r>
                      </w:p>
                    </w:tc>
                  </w:tr>
                  <w:tr w:rsidR="00C53F17" w:rsidRPr="00C53F17" w:rsidTr="00C53F17">
                    <w:trPr>
                      <w:tblCellSpacing w:w="15" w:type="dxa"/>
                    </w:trPr>
                    <w:tc>
                      <w:tcPr>
                        <w:tcW w:w="3345" w:type="dxa"/>
                        <w:hideMark/>
                      </w:tcPr>
                      <w:p w:rsidR="00C53F17" w:rsidRPr="00C53F17" w:rsidRDefault="00C53F17" w:rsidP="00D303FC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="StoneSansIIITCPro-Lt"/>
                          </w:rPr>
                        </w:pPr>
                        <w:r w:rsidRPr="00C53F17">
                          <w:rPr>
                            <w:rFonts w:asciiTheme="minorHAnsi" w:hAnsiTheme="minorHAnsi" w:cs="StoneSansIIITCPro-Lt"/>
                          </w:rPr>
                          <w:t>Account Executive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53F17" w:rsidRPr="00C53F17" w:rsidRDefault="00C53F17" w:rsidP="00C53F17">
                        <w:pPr>
                          <w:autoSpaceDE w:val="0"/>
                          <w:autoSpaceDN w:val="0"/>
                          <w:adjustRightInd w:val="0"/>
                          <w:ind w:left="-30"/>
                          <w:rPr>
                            <w:rFonts w:asciiTheme="minorHAnsi" w:hAnsiTheme="minorHAnsi" w:cs="StoneSansIIITCPro-Lt"/>
                          </w:rPr>
                        </w:pPr>
                        <w:r w:rsidRPr="00C53F17">
                          <w:rPr>
                            <w:rFonts w:asciiTheme="minorHAnsi" w:hAnsiTheme="minorHAnsi" w:cs="StoneSansIIITCPro-Lt"/>
                          </w:rPr>
                          <w:t>Associate Account Executive</w:t>
                        </w:r>
                      </w:p>
                    </w:tc>
                  </w:tr>
                  <w:tr w:rsidR="00C53F17" w:rsidRPr="00C53F17" w:rsidTr="00C53F17">
                    <w:trPr>
                      <w:tblCellSpacing w:w="15" w:type="dxa"/>
                    </w:trPr>
                    <w:tc>
                      <w:tcPr>
                        <w:tcW w:w="3345" w:type="dxa"/>
                        <w:hideMark/>
                      </w:tcPr>
                      <w:p w:rsidR="00C53F17" w:rsidRPr="00C53F17" w:rsidRDefault="00C53F17" w:rsidP="00D303FC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="StoneSansIIITCPro-Lt"/>
                          </w:rPr>
                        </w:pPr>
                        <w:r w:rsidRPr="00C53F17">
                          <w:rPr>
                            <w:rFonts w:asciiTheme="minorHAnsi" w:hAnsiTheme="minorHAnsi" w:cs="StoneSansIIITCPro-Lt"/>
                          </w:rPr>
                          <w:t>Aon Risk Solutions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53F17" w:rsidRPr="00C53F17" w:rsidRDefault="00C53F17" w:rsidP="00C53F17">
                        <w:pPr>
                          <w:autoSpaceDE w:val="0"/>
                          <w:autoSpaceDN w:val="0"/>
                          <w:adjustRightInd w:val="0"/>
                          <w:ind w:left="-30"/>
                          <w:rPr>
                            <w:rFonts w:asciiTheme="minorHAnsi" w:hAnsiTheme="minorHAnsi" w:cs="StoneSansIIITCPro-Lt"/>
                          </w:rPr>
                        </w:pPr>
                        <w:r w:rsidRPr="00C53F17">
                          <w:rPr>
                            <w:rFonts w:asciiTheme="minorHAnsi" w:hAnsiTheme="minorHAnsi" w:cs="StoneSansIIITCPro-Lt"/>
                          </w:rPr>
                          <w:t>Aon Risk Solutions</w:t>
                        </w:r>
                      </w:p>
                    </w:tc>
                  </w:tr>
                  <w:tr w:rsidR="00C53F17" w:rsidRPr="00C53F17" w:rsidTr="00C53F17">
                    <w:trPr>
                      <w:tblCellSpacing w:w="15" w:type="dxa"/>
                    </w:trPr>
                    <w:tc>
                      <w:tcPr>
                        <w:tcW w:w="3345" w:type="dxa"/>
                        <w:hideMark/>
                      </w:tcPr>
                      <w:p w:rsidR="00C53F17" w:rsidRPr="00C53F17" w:rsidRDefault="00C53F17" w:rsidP="00D303FC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="StoneSansIIITCPro-Lt"/>
                          </w:rPr>
                        </w:pPr>
                        <w:r w:rsidRPr="00C53F17">
                          <w:rPr>
                            <w:rFonts w:asciiTheme="minorHAnsi" w:hAnsiTheme="minorHAnsi" w:cs="StoneSansIIITCPro-Lt"/>
                          </w:rPr>
                          <w:t>416.868.5854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53F17" w:rsidRPr="00C53F17" w:rsidRDefault="00C53F17" w:rsidP="00C53F17">
                        <w:pPr>
                          <w:autoSpaceDE w:val="0"/>
                          <w:autoSpaceDN w:val="0"/>
                          <w:adjustRightInd w:val="0"/>
                          <w:ind w:left="-30"/>
                          <w:rPr>
                            <w:rFonts w:asciiTheme="minorHAnsi" w:hAnsiTheme="minorHAnsi" w:cs="StoneSansIIITCPro-Lt"/>
                          </w:rPr>
                        </w:pPr>
                        <w:r w:rsidRPr="00C53F17">
                          <w:rPr>
                            <w:rFonts w:asciiTheme="minorHAnsi" w:hAnsiTheme="minorHAnsi" w:cs="StoneSansIIITCPro-Lt"/>
                          </w:rPr>
                          <w:t>416.868.5918</w:t>
                        </w:r>
                      </w:p>
                    </w:tc>
                  </w:tr>
                  <w:tr w:rsidR="00C53F17" w:rsidRPr="00C53F17" w:rsidTr="00C53F17">
                    <w:trPr>
                      <w:tblCellSpacing w:w="15" w:type="dxa"/>
                    </w:trPr>
                    <w:tc>
                      <w:tcPr>
                        <w:tcW w:w="3345" w:type="dxa"/>
                        <w:hideMark/>
                      </w:tcPr>
                      <w:p w:rsidR="00C53F17" w:rsidRPr="00C53F17" w:rsidRDefault="00C53F17" w:rsidP="00D303FC">
                        <w:pPr>
                          <w:rPr>
                            <w:rFonts w:asciiTheme="minorHAnsi" w:hAnsiTheme="minorHAnsi"/>
                          </w:rPr>
                        </w:pPr>
                        <w:r w:rsidRPr="00C53F17">
                          <w:rPr>
                            <w:rFonts w:asciiTheme="minorHAnsi" w:hAnsiTheme="minorHAnsi" w:cs="StoneSansIIITCPro-Lt"/>
                          </w:rPr>
                          <w:t>christopher.russell@aon.ca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53F17" w:rsidRPr="00C53F17" w:rsidRDefault="00C53F17" w:rsidP="00C53F17">
                        <w:pPr>
                          <w:spacing w:before="100" w:beforeAutospacing="1" w:after="100" w:afterAutospacing="1"/>
                          <w:ind w:left="-30"/>
                          <w:rPr>
                            <w:rFonts w:asciiTheme="minorHAnsi" w:eastAsia="Times New Roman" w:hAnsiTheme="minorHAnsi" w:cs="Times New Roman"/>
                          </w:rPr>
                        </w:pPr>
                        <w:r w:rsidRPr="00C53F17">
                          <w:rPr>
                            <w:rFonts w:asciiTheme="minorHAnsi" w:hAnsiTheme="minorHAnsi" w:cs="StoneSansIIITCPro-Lt"/>
                          </w:rPr>
                          <w:t>sundip.dehal@aon.ca</w:t>
                        </w:r>
                      </w:p>
                    </w:tc>
                  </w:tr>
                </w:tbl>
                <w:p w:rsidR="00C53F17" w:rsidRPr="00C53F17" w:rsidRDefault="00C53F17" w:rsidP="00C53F1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CA"/>
                    </w:rPr>
                  </w:pPr>
                </w:p>
              </w:tc>
            </w:tr>
          </w:tbl>
          <w:p w:rsidR="00C53F17" w:rsidRPr="00C53F17" w:rsidRDefault="00C53F17" w:rsidP="00C53F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</w:tbl>
    <w:p w:rsidR="00C53F17" w:rsidRDefault="00C53F17"/>
    <w:sectPr w:rsidR="00C53F17" w:rsidSect="007C384D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neSansIIITCPro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ansIIITCPro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ansIIITCPro-L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loSlab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C467E"/>
    <w:multiLevelType w:val="multilevel"/>
    <w:tmpl w:val="1A06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oNotDisplayPageBoundaries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17"/>
    <w:rsid w:val="00266EA4"/>
    <w:rsid w:val="007C384D"/>
    <w:rsid w:val="00B5332E"/>
    <w:rsid w:val="00C5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3F17"/>
    <w:rPr>
      <w:color w:val="009966"/>
      <w:u w:val="single"/>
    </w:rPr>
  </w:style>
  <w:style w:type="paragraph" w:styleId="NormalWeb">
    <w:name w:val="Normal (Web)"/>
    <w:basedOn w:val="Normal"/>
    <w:uiPriority w:val="99"/>
    <w:semiHidden/>
    <w:unhideWhenUsed/>
    <w:rsid w:val="00C53F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C53F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3F17"/>
    <w:rPr>
      <w:color w:val="009966"/>
      <w:u w:val="single"/>
    </w:rPr>
  </w:style>
  <w:style w:type="paragraph" w:styleId="NormalWeb">
    <w:name w:val="Normal (Web)"/>
    <w:basedOn w:val="Normal"/>
    <w:uiPriority w:val="99"/>
    <w:semiHidden/>
    <w:unhideWhenUsed/>
    <w:rsid w:val="00C53F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C53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48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dsbweb/webdocuments/BOPManual/docs/151109-School%20Councils%20and%20Insurance%20Handout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300</Words>
  <Characters>1716</Characters>
  <Application>Microsoft Office Word</Application>
  <DocSecurity>0</DocSecurity>
  <Lines>14</Lines>
  <Paragraphs>4</Paragraphs>
  <ScaleCrop>false</ScaleCrop>
  <Company>Toronto District School Board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Tony</dc:creator>
  <cp:keywords/>
  <dc:description/>
  <cp:lastModifiedBy/>
  <cp:revision>1</cp:revision>
  <dcterms:created xsi:type="dcterms:W3CDTF">2016-09-30T16:18:00Z</dcterms:created>
</cp:coreProperties>
</file>