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2B19C" w14:textId="77777777" w:rsidR="00C54006" w:rsidRPr="00644572" w:rsidRDefault="00644572" w:rsidP="00097A18">
      <w:pPr>
        <w:ind w:left="-1530"/>
        <w:rPr>
          <w:rFonts w:ascii="Myriad Pro" w:hAnsi="Myriad Pro"/>
          <w:b/>
          <w:sz w:val="28"/>
          <w:szCs w:val="28"/>
        </w:rPr>
      </w:pPr>
      <w:r w:rsidRPr="00644572">
        <w:rPr>
          <w:rFonts w:ascii="Myriad Pro" w:hAnsi="Myriad Pro"/>
          <w:b/>
          <w:sz w:val="28"/>
          <w:szCs w:val="28"/>
        </w:rPr>
        <w:t xml:space="preserve">COMMUNITY ADVISORY COMMITTEE MINUTES </w:t>
      </w:r>
    </w:p>
    <w:p w14:paraId="4E247574" w14:textId="77777777" w:rsidR="00644572" w:rsidRDefault="00644572" w:rsidP="00097A18">
      <w:pPr>
        <w:ind w:left="-1530"/>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 xml:space="preserve">Committee Name: </w:t>
      </w:r>
      <w:r w:rsidR="00F37843">
        <w:rPr>
          <w:rFonts w:ascii="Myriad Pro" w:hAnsi="Myriad Pro"/>
        </w:rPr>
        <w:t xml:space="preserve"> ICAC </w:t>
      </w:r>
    </w:p>
    <w:p w14:paraId="67BABD6D" w14:textId="77777777" w:rsidR="00644572" w:rsidRDefault="00644572" w:rsidP="00097A18">
      <w:pPr>
        <w:ind w:left="-1530"/>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Date:</w:t>
      </w:r>
      <w:r w:rsidR="00982DDF">
        <w:rPr>
          <w:rFonts w:ascii="Myriad Pro" w:hAnsi="Myriad Pro"/>
        </w:rPr>
        <w:t xml:space="preserve"> November 24, 2016</w:t>
      </w:r>
    </w:p>
    <w:p w14:paraId="0201FA15" w14:textId="77777777" w:rsidR="00644572" w:rsidRDefault="00644572" w:rsidP="00097A18">
      <w:pPr>
        <w:ind w:left="-1530"/>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 xml:space="preserve">Time: </w:t>
      </w:r>
      <w:r w:rsidR="00982DDF">
        <w:rPr>
          <w:rFonts w:ascii="Myriad Pro" w:hAnsi="Myriad Pro"/>
        </w:rPr>
        <w:t>6:00 p.m.</w:t>
      </w:r>
    </w:p>
    <w:p w14:paraId="20E3B84B" w14:textId="77777777" w:rsidR="00644572" w:rsidRDefault="00644572" w:rsidP="00097A18">
      <w:pPr>
        <w:ind w:left="-1530"/>
        <w:rPr>
          <w:rFonts w:ascii="Myriad Pro" w:hAnsi="Myriad Pro"/>
        </w:rPr>
      </w:pPr>
      <w:r w:rsidRPr="00644572">
        <w:rPr>
          <w:rFonts w:ascii="Myriad Pro" w:hAnsi="Myriad Pro"/>
        </w:rPr>
        <w:t xml:space="preserve">Present: </w:t>
      </w:r>
      <w:r w:rsidR="000C3942">
        <w:rPr>
          <w:rFonts w:ascii="Myriad Pro" w:hAnsi="Myriad Pro"/>
        </w:rPr>
        <w:t>Ingrid Palmer (</w:t>
      </w:r>
      <w:r w:rsidR="00FF505C">
        <w:rPr>
          <w:rFonts w:ascii="Myriad Pro" w:hAnsi="Myriad Pro"/>
        </w:rPr>
        <w:t>Community Co-</w:t>
      </w:r>
      <w:r w:rsidR="000C3942">
        <w:rPr>
          <w:rFonts w:ascii="Myriad Pro" w:hAnsi="Myriad Pro"/>
        </w:rPr>
        <w:t xml:space="preserve">Chair), </w:t>
      </w:r>
      <w:r w:rsidR="00035693">
        <w:rPr>
          <w:rFonts w:ascii="Myriad Pro" w:hAnsi="Myriad Pro"/>
        </w:rPr>
        <w:t xml:space="preserve">Trustee Sheila Cary-Meagher (Co-Chair), </w:t>
      </w:r>
      <w:r w:rsidR="000C3942">
        <w:rPr>
          <w:rFonts w:ascii="Myriad Pro" w:hAnsi="Myriad Pro"/>
        </w:rPr>
        <w:t>Trustee</w:t>
      </w:r>
      <w:r w:rsidR="00035693">
        <w:rPr>
          <w:rFonts w:ascii="Myriad Pro" w:hAnsi="Myriad Pro"/>
        </w:rPr>
        <w:t xml:space="preserve"> Jennifer</w:t>
      </w:r>
      <w:r w:rsidR="000C3942">
        <w:rPr>
          <w:rFonts w:ascii="Myriad Pro" w:hAnsi="Myriad Pro"/>
        </w:rPr>
        <w:t xml:space="preserve"> Arp, </w:t>
      </w:r>
      <w:r w:rsidR="00FF505C">
        <w:rPr>
          <w:rFonts w:ascii="Myriad Pro" w:hAnsi="Myriad Pro"/>
        </w:rPr>
        <w:t>Laurie Green</w:t>
      </w:r>
      <w:r w:rsidR="00273F8F">
        <w:rPr>
          <w:rFonts w:ascii="Myriad Pro" w:hAnsi="Myriad Pro"/>
        </w:rPr>
        <w:t>, Shaila Krishna</w:t>
      </w:r>
    </w:p>
    <w:p w14:paraId="5B21E5B8" w14:textId="77777777" w:rsidR="00C31BD7" w:rsidRDefault="00982DDF" w:rsidP="00097A18">
      <w:pPr>
        <w:ind w:left="-1530"/>
        <w:rPr>
          <w:rFonts w:ascii="Myriad Pro" w:hAnsi="Myriad Pro"/>
        </w:rPr>
      </w:pPr>
      <w:r>
        <w:rPr>
          <w:rFonts w:ascii="Myriad Pro" w:hAnsi="Myriad Pro"/>
        </w:rPr>
        <w:t xml:space="preserve">TDSB: Karen Falconer, Helen Fisher, John Duwyn, </w:t>
      </w:r>
      <w:r w:rsidR="00273F8F">
        <w:rPr>
          <w:rFonts w:ascii="Myriad Pro" w:hAnsi="Myriad Pro"/>
        </w:rPr>
        <w:t>Alison Rutherford (MSIC Coordinator), Hugh Hurd (Community Support Worker), Safia Ahmad (Community Support Worker), Kofi Sankofa (Community Support Worker), Khadra Hussein (Community Support Worker), Daniel Jeffers (Community Support Worker)</w:t>
      </w:r>
    </w:p>
    <w:p w14:paraId="3E76B7D5" w14:textId="77777777" w:rsidR="00644572" w:rsidRDefault="00644572" w:rsidP="00097A18">
      <w:pPr>
        <w:ind w:left="-1530"/>
        <w:rPr>
          <w:rFonts w:ascii="Myriad Pro" w:hAnsi="Myriad Pro"/>
        </w:rPr>
      </w:pPr>
      <w:r w:rsidRPr="00644572">
        <w:rPr>
          <w:rFonts w:ascii="Myriad Pro" w:hAnsi="Myriad Pro"/>
        </w:rPr>
        <w:t xml:space="preserve">Regrets: </w:t>
      </w:r>
      <w:r w:rsidR="00035693">
        <w:rPr>
          <w:rFonts w:ascii="Myriad Pro" w:hAnsi="Myriad Pro"/>
        </w:rPr>
        <w:t xml:space="preserve">Peggy Thomas, Michael Griesz, Adam Iggers, Lee Ford-Jones, Trustee Shan, Michael Griesz, Nanci Goldman, Josette Holness, Nathan Gilbert, Siham Abosita </w:t>
      </w:r>
    </w:p>
    <w:p w14:paraId="6B77471C" w14:textId="77777777" w:rsidR="00644572" w:rsidRDefault="00644572" w:rsidP="00097A18">
      <w:pPr>
        <w:ind w:left="-1530"/>
        <w:rPr>
          <w:rFonts w:ascii="Myriad Pro" w:hAnsi="Myriad Pro"/>
        </w:rPr>
      </w:pPr>
      <w:r>
        <w:rPr>
          <w:rFonts w:ascii="Myriad Pro" w:hAnsi="Myriad Pro"/>
        </w:rPr>
        <w:t>Guests:</w:t>
      </w:r>
      <w:r w:rsidR="00273F8F">
        <w:rPr>
          <w:rFonts w:ascii="Myriad Pro" w:hAnsi="Myriad Pro"/>
        </w:rPr>
        <w:t xml:space="preserve"> Joy Beals, Marcia Griffith, Nicole Strachan, Charles Liu, Carol Cherry James, Amina Omar, Bibi Rafeer, Christine Dimitris, Tenisha Pinnock, Truc Le, Mahaliah Thorpe, Omar Thorpe, Husein Kirefu, Miriam Turcios, Rama, Marlene Samms, Sarah Johnson, Heather Vickers, J. Pearson</w:t>
      </w:r>
    </w:p>
    <w:p w14:paraId="59EFEA1E" w14:textId="77777777" w:rsidR="00644572" w:rsidRPr="006004C0" w:rsidRDefault="00644572" w:rsidP="00097A18">
      <w:pPr>
        <w:ind w:left="-1530"/>
        <w:rPr>
          <w:rFonts w:ascii="Myriad Pro" w:hAnsi="Myriad Pro"/>
        </w:rPr>
      </w:pPr>
      <w:r w:rsidRPr="00644572">
        <w:rPr>
          <w:rFonts w:ascii="Myriad Pro" w:hAnsi="Myriad Pro"/>
        </w:rPr>
        <w:t>Recorder:</w:t>
      </w:r>
      <w:r w:rsidR="00982DDF">
        <w:rPr>
          <w:rFonts w:ascii="Myriad Pro" w:hAnsi="Myriad Pro"/>
        </w:rPr>
        <w:t xml:space="preserve"> Alison Rutherford</w:t>
      </w:r>
    </w:p>
    <w:tbl>
      <w:tblPr>
        <w:tblStyle w:val="TableGrid"/>
        <w:tblW w:w="14058" w:type="dxa"/>
        <w:tblInd w:w="-1530" w:type="dxa"/>
        <w:tblLook w:val="04A0" w:firstRow="1" w:lastRow="0" w:firstColumn="1" w:lastColumn="0" w:noHBand="0" w:noVBand="1"/>
      </w:tblPr>
      <w:tblGrid>
        <w:gridCol w:w="3438"/>
        <w:gridCol w:w="6120"/>
        <w:gridCol w:w="4500"/>
      </w:tblGrid>
      <w:tr w:rsidR="00644572" w14:paraId="575434A5" w14:textId="77777777" w:rsidTr="00644572">
        <w:tc>
          <w:tcPr>
            <w:tcW w:w="3438" w:type="dxa"/>
          </w:tcPr>
          <w:p w14:paraId="63F55EEE" w14:textId="77777777" w:rsidR="00644572" w:rsidRPr="00644572" w:rsidRDefault="00644572" w:rsidP="00644572">
            <w:pPr>
              <w:jc w:val="center"/>
              <w:rPr>
                <w:rFonts w:ascii="Myriad Pro" w:hAnsi="Myriad Pro"/>
                <w:b/>
              </w:rPr>
            </w:pPr>
            <w:r w:rsidRPr="00644572">
              <w:rPr>
                <w:rFonts w:ascii="Myriad Pro" w:hAnsi="Myriad Pro"/>
                <w:b/>
              </w:rPr>
              <w:t>ITEM</w:t>
            </w:r>
          </w:p>
        </w:tc>
        <w:tc>
          <w:tcPr>
            <w:tcW w:w="6120" w:type="dxa"/>
          </w:tcPr>
          <w:p w14:paraId="5747CF17" w14:textId="77777777" w:rsidR="00644572" w:rsidRPr="00644572" w:rsidRDefault="00644572" w:rsidP="00644572">
            <w:pPr>
              <w:jc w:val="center"/>
              <w:rPr>
                <w:rFonts w:ascii="Myriad Pro" w:hAnsi="Myriad Pro"/>
                <w:b/>
              </w:rPr>
            </w:pPr>
            <w:r w:rsidRPr="00644572">
              <w:rPr>
                <w:rFonts w:ascii="Myriad Pro" w:hAnsi="Myriad Pro"/>
                <w:b/>
              </w:rPr>
              <w:t>DISCUSSION</w:t>
            </w:r>
          </w:p>
        </w:tc>
        <w:tc>
          <w:tcPr>
            <w:tcW w:w="4500" w:type="dxa"/>
          </w:tcPr>
          <w:p w14:paraId="78E07E24" w14:textId="77777777" w:rsidR="00644572" w:rsidRPr="00644572" w:rsidRDefault="00644572" w:rsidP="00644572">
            <w:pPr>
              <w:jc w:val="center"/>
              <w:rPr>
                <w:rFonts w:ascii="Myriad Pro" w:hAnsi="Myriad Pro"/>
                <w:b/>
              </w:rPr>
            </w:pPr>
            <w:r w:rsidRPr="00644572">
              <w:rPr>
                <w:rFonts w:ascii="Myriad Pro" w:hAnsi="Myriad Pro"/>
                <w:b/>
              </w:rPr>
              <w:t>RECOMMENDATION/MOTION</w:t>
            </w:r>
          </w:p>
        </w:tc>
      </w:tr>
      <w:tr w:rsidR="00644572" w14:paraId="52FEC59A" w14:textId="77777777" w:rsidTr="00644572">
        <w:tc>
          <w:tcPr>
            <w:tcW w:w="3438" w:type="dxa"/>
          </w:tcPr>
          <w:p w14:paraId="54748AA9" w14:textId="77777777" w:rsidR="00644572" w:rsidRDefault="00644572" w:rsidP="00097A18">
            <w:pPr>
              <w:rPr>
                <w:rFonts w:ascii="Myriad Pro" w:hAnsi="Myriad Pro"/>
              </w:rPr>
            </w:pPr>
            <w:r>
              <w:rPr>
                <w:rFonts w:ascii="Myriad Pro" w:hAnsi="Myriad Pro"/>
              </w:rPr>
              <w:t xml:space="preserve">Call to Order/Quorum </w:t>
            </w:r>
          </w:p>
        </w:tc>
        <w:tc>
          <w:tcPr>
            <w:tcW w:w="6120" w:type="dxa"/>
          </w:tcPr>
          <w:p w14:paraId="15F864BE" w14:textId="77777777" w:rsidR="00982DDF" w:rsidRDefault="00982DDF" w:rsidP="00097A18">
            <w:pPr>
              <w:rPr>
                <w:rFonts w:ascii="Myriad Pro" w:hAnsi="Myriad Pro"/>
              </w:rPr>
            </w:pPr>
            <w:r>
              <w:rPr>
                <w:rFonts w:ascii="Myriad Pro" w:hAnsi="Myriad Pro"/>
              </w:rPr>
              <w:t xml:space="preserve">Helen called the meeting to order at 6:30 p.m. Ainsworth Morgan, Principal – Pelmo Park welcomed ICAC </w:t>
            </w:r>
          </w:p>
        </w:tc>
        <w:tc>
          <w:tcPr>
            <w:tcW w:w="4500" w:type="dxa"/>
          </w:tcPr>
          <w:p w14:paraId="753D7D59" w14:textId="77777777" w:rsidR="00644572" w:rsidRDefault="00FF505C" w:rsidP="00097A18">
            <w:pPr>
              <w:rPr>
                <w:rFonts w:ascii="Myriad Pro" w:hAnsi="Myriad Pro"/>
              </w:rPr>
            </w:pPr>
            <w:r>
              <w:rPr>
                <w:rFonts w:ascii="Myriad Pro" w:hAnsi="Myriad Pro"/>
              </w:rPr>
              <w:t>Called to order by Ingrid Palmer</w:t>
            </w:r>
          </w:p>
        </w:tc>
      </w:tr>
      <w:tr w:rsidR="00644572" w14:paraId="07E2F170" w14:textId="77777777" w:rsidTr="00644572">
        <w:tc>
          <w:tcPr>
            <w:tcW w:w="3438" w:type="dxa"/>
          </w:tcPr>
          <w:p w14:paraId="12EF91F8" w14:textId="77777777" w:rsidR="00644572" w:rsidRDefault="00644572" w:rsidP="00097A18">
            <w:pPr>
              <w:rPr>
                <w:rFonts w:ascii="Myriad Pro" w:hAnsi="Myriad Pro"/>
              </w:rPr>
            </w:pPr>
            <w:r>
              <w:rPr>
                <w:rFonts w:ascii="Myriad Pro" w:hAnsi="Myriad Pro"/>
              </w:rPr>
              <w:t>Approval of Agenda</w:t>
            </w:r>
          </w:p>
        </w:tc>
        <w:tc>
          <w:tcPr>
            <w:tcW w:w="6120" w:type="dxa"/>
          </w:tcPr>
          <w:p w14:paraId="0BBF9596" w14:textId="77777777" w:rsidR="00C31BD7" w:rsidRDefault="00C31BD7" w:rsidP="00A347A7">
            <w:pPr>
              <w:rPr>
                <w:rFonts w:ascii="Myriad Pro" w:hAnsi="Myriad Pro"/>
              </w:rPr>
            </w:pPr>
            <w:bookmarkStart w:id="0" w:name="_GoBack"/>
            <w:bookmarkEnd w:id="0"/>
          </w:p>
        </w:tc>
        <w:tc>
          <w:tcPr>
            <w:tcW w:w="4500" w:type="dxa"/>
          </w:tcPr>
          <w:p w14:paraId="4FDA61B3" w14:textId="77777777" w:rsidR="00644572" w:rsidRDefault="00035693" w:rsidP="00097A18">
            <w:pPr>
              <w:rPr>
                <w:rFonts w:ascii="Myriad Pro" w:hAnsi="Myriad Pro"/>
              </w:rPr>
            </w:pPr>
            <w:r>
              <w:rPr>
                <w:rFonts w:ascii="Myriad Pro" w:hAnsi="Myriad Pro"/>
              </w:rPr>
              <w:t>Jennifer Arp Moved, Laurie Green Seconded</w:t>
            </w:r>
          </w:p>
        </w:tc>
      </w:tr>
      <w:tr w:rsidR="00F37843" w14:paraId="74E28735" w14:textId="77777777" w:rsidTr="00644572">
        <w:tc>
          <w:tcPr>
            <w:tcW w:w="3438" w:type="dxa"/>
          </w:tcPr>
          <w:p w14:paraId="28550E43" w14:textId="77777777" w:rsidR="00F37843" w:rsidRPr="00763D88" w:rsidRDefault="00F37843" w:rsidP="00F37843">
            <w:pPr>
              <w:widowControl w:val="0"/>
              <w:spacing w:before="63"/>
              <w:ind w:right="-20"/>
              <w:rPr>
                <w:rFonts w:ascii="Myriad Pro" w:eastAsia="Times New Roman" w:hAnsi="Myriad Pro"/>
                <w:szCs w:val="24"/>
              </w:rPr>
            </w:pPr>
            <w:r w:rsidRPr="00763D88">
              <w:rPr>
                <w:rFonts w:ascii="Myriad Pro" w:eastAsia="Times New Roman" w:hAnsi="Myriad Pro"/>
                <w:szCs w:val="24"/>
              </w:rPr>
              <w:t>Approval of Minutes</w:t>
            </w:r>
          </w:p>
        </w:tc>
        <w:tc>
          <w:tcPr>
            <w:tcW w:w="6120" w:type="dxa"/>
          </w:tcPr>
          <w:p w14:paraId="6210D922" w14:textId="77777777" w:rsidR="00F37843" w:rsidRDefault="00F37843" w:rsidP="00097A18">
            <w:pPr>
              <w:rPr>
                <w:rFonts w:ascii="Myriad Pro" w:hAnsi="Myriad Pro"/>
              </w:rPr>
            </w:pPr>
          </w:p>
        </w:tc>
        <w:tc>
          <w:tcPr>
            <w:tcW w:w="4500" w:type="dxa"/>
          </w:tcPr>
          <w:p w14:paraId="3B66E16B" w14:textId="77777777" w:rsidR="00F37843" w:rsidRDefault="00035693" w:rsidP="00097A18">
            <w:pPr>
              <w:rPr>
                <w:rFonts w:ascii="Myriad Pro" w:hAnsi="Myriad Pro"/>
              </w:rPr>
            </w:pPr>
            <w:r>
              <w:rPr>
                <w:rFonts w:ascii="Myriad Pro" w:hAnsi="Myriad Pro"/>
              </w:rPr>
              <w:t xml:space="preserve">Laurie Green Moved, Sheila Cary-Meagher Seconded </w:t>
            </w:r>
          </w:p>
        </w:tc>
      </w:tr>
      <w:tr w:rsidR="00F37843" w14:paraId="142E3C84" w14:textId="77777777" w:rsidTr="00644572">
        <w:tc>
          <w:tcPr>
            <w:tcW w:w="3438" w:type="dxa"/>
          </w:tcPr>
          <w:p w14:paraId="3169E514" w14:textId="77777777" w:rsidR="00F37843" w:rsidRPr="00763D88" w:rsidRDefault="00F37843" w:rsidP="00982DDF">
            <w:pPr>
              <w:widowControl w:val="0"/>
              <w:spacing w:after="200" w:line="276" w:lineRule="auto"/>
              <w:rPr>
                <w:rFonts w:ascii="Myriad Pro" w:eastAsia="Calibri" w:hAnsi="Myriad Pro"/>
              </w:rPr>
            </w:pPr>
            <w:r w:rsidRPr="00763D88">
              <w:rPr>
                <w:rFonts w:ascii="Myriad Pro" w:eastAsia="Calibri" w:hAnsi="Myriad Pro"/>
              </w:rPr>
              <w:t xml:space="preserve">Declarations of Possible Conflict of </w:t>
            </w:r>
            <w:r w:rsidRPr="00763D88">
              <w:rPr>
                <w:rFonts w:ascii="Myriad Pro" w:eastAsia="Calibri" w:hAnsi="Myriad Pro"/>
              </w:rPr>
              <w:lastRenderedPageBreak/>
              <w:t>Interests</w:t>
            </w:r>
          </w:p>
        </w:tc>
        <w:tc>
          <w:tcPr>
            <w:tcW w:w="6120" w:type="dxa"/>
          </w:tcPr>
          <w:p w14:paraId="46860E9A" w14:textId="77777777" w:rsidR="00F37843" w:rsidRDefault="00F37843" w:rsidP="00E16491">
            <w:pPr>
              <w:tabs>
                <w:tab w:val="left" w:pos="3783"/>
              </w:tabs>
              <w:rPr>
                <w:rFonts w:ascii="Myriad Pro" w:hAnsi="Myriad Pro"/>
              </w:rPr>
            </w:pPr>
          </w:p>
        </w:tc>
        <w:tc>
          <w:tcPr>
            <w:tcW w:w="4500" w:type="dxa"/>
          </w:tcPr>
          <w:p w14:paraId="1FEAF7B9" w14:textId="77777777" w:rsidR="00F37843" w:rsidRDefault="00035693" w:rsidP="00097A18">
            <w:pPr>
              <w:rPr>
                <w:rFonts w:ascii="Myriad Pro" w:hAnsi="Myriad Pro"/>
              </w:rPr>
            </w:pPr>
            <w:r>
              <w:rPr>
                <w:rFonts w:ascii="Myriad Pro" w:hAnsi="Myriad Pro"/>
              </w:rPr>
              <w:t>None</w:t>
            </w:r>
          </w:p>
        </w:tc>
      </w:tr>
      <w:tr w:rsidR="00F37843" w14:paraId="7839DE01" w14:textId="77777777" w:rsidTr="00644572">
        <w:tc>
          <w:tcPr>
            <w:tcW w:w="3438" w:type="dxa"/>
          </w:tcPr>
          <w:p w14:paraId="4CD4524B" w14:textId="77777777" w:rsidR="00F37843" w:rsidRPr="00F670E7" w:rsidRDefault="00F37843" w:rsidP="00982DDF">
            <w:pPr>
              <w:rPr>
                <w:rFonts w:ascii="Times" w:eastAsia="Times New Roman" w:hAnsi="Times"/>
                <w:sz w:val="20"/>
              </w:rPr>
            </w:pPr>
            <w:r w:rsidRPr="00F670E7">
              <w:rPr>
                <w:rFonts w:ascii="Myriad Pro" w:eastAsia="Calibri" w:hAnsi="Myriad Pro"/>
              </w:rPr>
              <w:lastRenderedPageBreak/>
              <w:t>Community consultation –</w:t>
            </w:r>
            <w:hyperlink r:id="rId8" w:history="1">
              <w:r w:rsidRPr="00D73F3A">
                <w:rPr>
                  <w:rStyle w:val="Hyperlink"/>
                  <w:rFonts w:ascii="Myriad Pro" w:eastAsia="Calibri" w:hAnsi="Myriad Pro"/>
                </w:rPr>
                <w:t xml:space="preserve">TDSB </w:t>
              </w:r>
              <w:r w:rsidRPr="00D73F3A">
                <w:rPr>
                  <w:rStyle w:val="Hyperlink"/>
                  <w:rFonts w:ascii="Helvetica" w:eastAsia="Times New Roman" w:hAnsi="Helvetica"/>
                  <w:shd w:val="clear" w:color="auto" w:fill="FFFFFF"/>
                </w:rPr>
                <w:t>Integrated Equity</w:t>
              </w:r>
              <w:r w:rsidRPr="00D73F3A">
                <w:rPr>
                  <w:rStyle w:val="Hyperlink"/>
                  <w:rFonts w:ascii="Myriad Pro" w:eastAsia="Calibri" w:hAnsi="Myriad Pro"/>
                </w:rPr>
                <w:t xml:space="preserve"> Framework</w:t>
              </w:r>
            </w:hyperlink>
            <w:r w:rsidRPr="00F670E7">
              <w:rPr>
                <w:rFonts w:ascii="Helvetica" w:eastAsia="Times New Roman" w:hAnsi="Helvetica"/>
                <w:color w:val="FF6C00"/>
                <w:sz w:val="36"/>
                <w:szCs w:val="36"/>
                <w:shd w:val="clear" w:color="auto" w:fill="FFFFFF"/>
              </w:rPr>
              <w:t xml:space="preserve"> </w:t>
            </w:r>
          </w:p>
          <w:p w14:paraId="0865E5E2" w14:textId="77777777" w:rsidR="00F37843" w:rsidRPr="00763D88" w:rsidRDefault="00F37843" w:rsidP="00F37843">
            <w:pPr>
              <w:rPr>
                <w:rFonts w:ascii="Myriad Pro" w:eastAsia="Calibri" w:hAnsi="Myriad Pro"/>
              </w:rPr>
            </w:pPr>
          </w:p>
        </w:tc>
        <w:tc>
          <w:tcPr>
            <w:tcW w:w="6120" w:type="dxa"/>
          </w:tcPr>
          <w:p w14:paraId="4830D263" w14:textId="77777777" w:rsidR="00F37843" w:rsidRDefault="00035693" w:rsidP="00097A18">
            <w:pPr>
              <w:rPr>
                <w:rFonts w:ascii="Myriad Pro" w:hAnsi="Myriad Pro"/>
              </w:rPr>
            </w:pPr>
            <w:r>
              <w:rPr>
                <w:rFonts w:ascii="Myriad Pro" w:hAnsi="Myriad Pro"/>
              </w:rPr>
              <w:t>Helen Fisher, John Duwyn introduced the Integrated Equity Framework consultation process</w:t>
            </w:r>
          </w:p>
        </w:tc>
        <w:tc>
          <w:tcPr>
            <w:tcW w:w="4500" w:type="dxa"/>
          </w:tcPr>
          <w:p w14:paraId="1403FE27" w14:textId="77777777" w:rsidR="00F37843" w:rsidRDefault="00273F8F" w:rsidP="00097A18">
            <w:pPr>
              <w:rPr>
                <w:rFonts w:ascii="Myriad Pro" w:hAnsi="Myriad Pro"/>
              </w:rPr>
            </w:pPr>
            <w:r>
              <w:rPr>
                <w:rFonts w:ascii="Myriad Pro" w:hAnsi="Myriad Pro"/>
              </w:rPr>
              <w:t xml:space="preserve">All (small group consultations) </w:t>
            </w:r>
          </w:p>
        </w:tc>
      </w:tr>
      <w:tr w:rsidR="00F37843" w14:paraId="6D03512A" w14:textId="77777777" w:rsidTr="00644572">
        <w:tc>
          <w:tcPr>
            <w:tcW w:w="3438" w:type="dxa"/>
          </w:tcPr>
          <w:p w14:paraId="06D78A17" w14:textId="77777777" w:rsidR="00F37843" w:rsidRPr="00763D88" w:rsidRDefault="00F37843" w:rsidP="00982DDF">
            <w:pPr>
              <w:widowControl w:val="0"/>
              <w:spacing w:before="63"/>
              <w:ind w:left="262" w:right="-20"/>
              <w:rPr>
                <w:rFonts w:ascii="Myriad Pro" w:eastAsia="Times New Roman" w:hAnsi="Myriad Pro"/>
                <w:szCs w:val="24"/>
              </w:rPr>
            </w:pPr>
            <w:r w:rsidRPr="00763D88">
              <w:rPr>
                <w:rFonts w:ascii="Myriad Pro" w:eastAsia="Times New Roman" w:hAnsi="Myriad Pro"/>
                <w:szCs w:val="24"/>
              </w:rPr>
              <w:t>Other Busi</w:t>
            </w:r>
            <w:r w:rsidRPr="00763D88">
              <w:rPr>
                <w:rFonts w:ascii="Myriad Pro" w:eastAsia="Times New Roman" w:hAnsi="Myriad Pro"/>
                <w:spacing w:val="-1"/>
                <w:szCs w:val="24"/>
              </w:rPr>
              <w:t>n</w:t>
            </w:r>
            <w:r w:rsidRPr="00763D88">
              <w:rPr>
                <w:rFonts w:ascii="Myriad Pro" w:eastAsia="Times New Roman" w:hAnsi="Myriad Pro"/>
                <w:szCs w:val="24"/>
              </w:rPr>
              <w:t>ess</w:t>
            </w:r>
          </w:p>
        </w:tc>
        <w:tc>
          <w:tcPr>
            <w:tcW w:w="6120" w:type="dxa"/>
          </w:tcPr>
          <w:p w14:paraId="15D95373" w14:textId="77777777" w:rsidR="00F37843" w:rsidRDefault="00F37843" w:rsidP="00097A18">
            <w:pPr>
              <w:rPr>
                <w:rFonts w:ascii="Myriad Pro" w:hAnsi="Myriad Pro"/>
              </w:rPr>
            </w:pPr>
          </w:p>
        </w:tc>
        <w:tc>
          <w:tcPr>
            <w:tcW w:w="4500" w:type="dxa"/>
          </w:tcPr>
          <w:p w14:paraId="4D631401" w14:textId="77777777" w:rsidR="00F37843" w:rsidRDefault="00F37843" w:rsidP="00097A18">
            <w:pPr>
              <w:rPr>
                <w:rFonts w:ascii="Myriad Pro" w:hAnsi="Myriad Pro"/>
              </w:rPr>
            </w:pPr>
          </w:p>
        </w:tc>
      </w:tr>
      <w:tr w:rsidR="00F37843" w14:paraId="59E7DDE0" w14:textId="77777777" w:rsidTr="00644572">
        <w:tc>
          <w:tcPr>
            <w:tcW w:w="3438" w:type="dxa"/>
          </w:tcPr>
          <w:p w14:paraId="334D9A31" w14:textId="77777777" w:rsidR="00F37843" w:rsidRPr="00763D88" w:rsidRDefault="00F37843" w:rsidP="00982DDF">
            <w:pPr>
              <w:widowControl w:val="0"/>
              <w:spacing w:before="63"/>
              <w:ind w:left="262" w:right="-20"/>
              <w:rPr>
                <w:rFonts w:ascii="Myriad Pro" w:eastAsia="Times New Roman" w:hAnsi="Myriad Pro"/>
                <w:szCs w:val="24"/>
              </w:rPr>
            </w:pPr>
            <w:r w:rsidRPr="00763D88">
              <w:rPr>
                <w:rFonts w:ascii="Myriad Pro" w:eastAsia="Times New Roman" w:hAnsi="Myriad Pro"/>
                <w:szCs w:val="24"/>
              </w:rPr>
              <w:t>Adjourn</w:t>
            </w:r>
            <w:r w:rsidRPr="00763D88">
              <w:rPr>
                <w:rFonts w:ascii="Myriad Pro" w:eastAsia="Times New Roman" w:hAnsi="Myriad Pro"/>
                <w:spacing w:val="-2"/>
                <w:szCs w:val="24"/>
              </w:rPr>
              <w:t>m</w:t>
            </w:r>
            <w:r w:rsidRPr="00763D88">
              <w:rPr>
                <w:rFonts w:ascii="Myriad Pro" w:eastAsia="Times New Roman" w:hAnsi="Myriad Pro"/>
                <w:szCs w:val="24"/>
              </w:rPr>
              <w:t>ent</w:t>
            </w:r>
          </w:p>
        </w:tc>
        <w:tc>
          <w:tcPr>
            <w:tcW w:w="6120" w:type="dxa"/>
          </w:tcPr>
          <w:p w14:paraId="43210CDD" w14:textId="77777777" w:rsidR="00F37843" w:rsidRDefault="00F37843" w:rsidP="00097A18">
            <w:pPr>
              <w:rPr>
                <w:rFonts w:ascii="Myriad Pro" w:hAnsi="Myriad Pro"/>
              </w:rPr>
            </w:pPr>
          </w:p>
        </w:tc>
        <w:tc>
          <w:tcPr>
            <w:tcW w:w="4500" w:type="dxa"/>
          </w:tcPr>
          <w:p w14:paraId="65F74390" w14:textId="77777777" w:rsidR="00F37843" w:rsidRDefault="00F37843" w:rsidP="00097A18">
            <w:pPr>
              <w:rPr>
                <w:rFonts w:ascii="Myriad Pro" w:hAnsi="Myriad Pro"/>
              </w:rPr>
            </w:pPr>
          </w:p>
        </w:tc>
      </w:tr>
    </w:tbl>
    <w:p w14:paraId="2F37D02A" w14:textId="77777777" w:rsidR="00644572" w:rsidRPr="006004C0" w:rsidRDefault="00644572" w:rsidP="00097A18">
      <w:pPr>
        <w:ind w:left="-1530"/>
        <w:rPr>
          <w:rFonts w:ascii="Myriad Pro" w:hAnsi="Myriad Pro"/>
        </w:rPr>
      </w:pPr>
    </w:p>
    <w:sectPr w:rsidR="00644572" w:rsidRPr="006004C0" w:rsidSect="008478D7">
      <w:headerReference w:type="default" r:id="rId9"/>
      <w:footerReference w:type="default" r:id="rId10"/>
      <w:pgSz w:w="15840" w:h="12240" w:orient="landscape"/>
      <w:pgMar w:top="2423" w:right="1260" w:bottom="1440" w:left="27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48D98" w14:textId="77777777" w:rsidR="006053B7" w:rsidRDefault="006053B7" w:rsidP="006044B2">
      <w:pPr>
        <w:spacing w:after="0" w:line="240" w:lineRule="auto"/>
      </w:pPr>
      <w:r>
        <w:separator/>
      </w:r>
    </w:p>
  </w:endnote>
  <w:endnote w:type="continuationSeparator" w:id="0">
    <w:p w14:paraId="123305F8" w14:textId="77777777" w:rsidR="006053B7" w:rsidRDefault="006053B7" w:rsidP="0060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BCE41" w14:textId="77777777" w:rsidR="00035693" w:rsidRDefault="00035693" w:rsidP="006044B2">
    <w:pPr>
      <w:pStyle w:val="Footer"/>
      <w:ind w:left="-1440"/>
    </w:pPr>
    <w:r>
      <w:tab/>
    </w:r>
    <w:r>
      <w:tab/>
    </w:r>
    <w:r>
      <w:tab/>
    </w:r>
    <w:r>
      <w:tab/>
    </w:r>
    <w:r>
      <w:fldChar w:fldCharType="begin"/>
    </w:r>
    <w:r>
      <w:instrText xml:space="preserve"> PAGE   \* MERGEFORMAT </w:instrText>
    </w:r>
    <w:r>
      <w:fldChar w:fldCharType="separate"/>
    </w:r>
    <w:r w:rsidR="00BF6818">
      <w:rPr>
        <w:noProof/>
      </w:rPr>
      <w:t>2</w:t>
    </w:r>
    <w:r>
      <w:rPr>
        <w:noProof/>
      </w:rPr>
      <w:fldChar w:fldCharType="end"/>
    </w:r>
    <w:r>
      <w:tab/>
    </w:r>
  </w:p>
  <w:p w14:paraId="102443CC" w14:textId="77777777" w:rsidR="00035693" w:rsidRDefault="00035693" w:rsidP="00097A18">
    <w:pPr>
      <w:pStyle w:val="Footer"/>
      <w:ind w:left="-1440" w:hanging="1350"/>
    </w:pPr>
    <w:r>
      <w:rPr>
        <w:noProof/>
        <w:lang w:eastAsia="en-CA"/>
      </w:rPr>
      <w:drawing>
        <wp:inline distT="0" distB="0" distL="0" distR="0" wp14:anchorId="2A35296A" wp14:editId="5482A2B2">
          <wp:extent cx="10058400" cy="10241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10241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40D2E" w14:textId="77777777" w:rsidR="006053B7" w:rsidRDefault="006053B7" w:rsidP="006044B2">
      <w:pPr>
        <w:spacing w:after="0" w:line="240" w:lineRule="auto"/>
      </w:pPr>
      <w:r>
        <w:separator/>
      </w:r>
    </w:p>
  </w:footnote>
  <w:footnote w:type="continuationSeparator" w:id="0">
    <w:p w14:paraId="60A27565" w14:textId="77777777" w:rsidR="006053B7" w:rsidRDefault="006053B7" w:rsidP="00604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BCA5" w14:textId="77777777" w:rsidR="00035693" w:rsidRDefault="00035693" w:rsidP="00097A18">
    <w:pPr>
      <w:pStyle w:val="Header"/>
      <w:ind w:left="-1440" w:hanging="1350"/>
    </w:pPr>
    <w:r>
      <w:rPr>
        <w:noProof/>
        <w:lang w:eastAsia="en-CA"/>
      </w:rPr>
      <w:drawing>
        <wp:inline distT="0" distB="0" distL="0" distR="0" wp14:anchorId="1943CE21" wp14:editId="5947953D">
          <wp:extent cx="10030968" cy="1545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0030968" cy="15453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E"/>
    <w:rsid w:val="00033921"/>
    <w:rsid w:val="00035693"/>
    <w:rsid w:val="00097A18"/>
    <w:rsid w:val="000C2C56"/>
    <w:rsid w:val="000C3942"/>
    <w:rsid w:val="0012799D"/>
    <w:rsid w:val="00142517"/>
    <w:rsid w:val="001640C6"/>
    <w:rsid w:val="002165F3"/>
    <w:rsid w:val="00273F8F"/>
    <w:rsid w:val="002C604F"/>
    <w:rsid w:val="00306A1D"/>
    <w:rsid w:val="00317A5B"/>
    <w:rsid w:val="003C2CDA"/>
    <w:rsid w:val="003E5572"/>
    <w:rsid w:val="004D3857"/>
    <w:rsid w:val="00502F05"/>
    <w:rsid w:val="005170EC"/>
    <w:rsid w:val="006004C0"/>
    <w:rsid w:val="006044B2"/>
    <w:rsid w:val="006053B7"/>
    <w:rsid w:val="00644572"/>
    <w:rsid w:val="006F4C53"/>
    <w:rsid w:val="00723597"/>
    <w:rsid w:val="00760CD3"/>
    <w:rsid w:val="00787B28"/>
    <w:rsid w:val="0079437D"/>
    <w:rsid w:val="00794C21"/>
    <w:rsid w:val="0080073A"/>
    <w:rsid w:val="00807367"/>
    <w:rsid w:val="008478D7"/>
    <w:rsid w:val="008E4152"/>
    <w:rsid w:val="0094701F"/>
    <w:rsid w:val="00956E98"/>
    <w:rsid w:val="009757C3"/>
    <w:rsid w:val="00982DDF"/>
    <w:rsid w:val="009C0023"/>
    <w:rsid w:val="009F2B4E"/>
    <w:rsid w:val="009F32CC"/>
    <w:rsid w:val="00A347A7"/>
    <w:rsid w:val="00AB3880"/>
    <w:rsid w:val="00B40491"/>
    <w:rsid w:val="00BF6818"/>
    <w:rsid w:val="00C071E5"/>
    <w:rsid w:val="00C31BD7"/>
    <w:rsid w:val="00C54006"/>
    <w:rsid w:val="00CE526A"/>
    <w:rsid w:val="00CE6CE3"/>
    <w:rsid w:val="00D5059F"/>
    <w:rsid w:val="00DA58B5"/>
    <w:rsid w:val="00DD4198"/>
    <w:rsid w:val="00E16491"/>
    <w:rsid w:val="00E4533C"/>
    <w:rsid w:val="00E512F7"/>
    <w:rsid w:val="00E861EF"/>
    <w:rsid w:val="00F1008C"/>
    <w:rsid w:val="00F37843"/>
    <w:rsid w:val="00F4544F"/>
    <w:rsid w:val="00FE21AD"/>
    <w:rsid w:val="00FF505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DE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378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37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Portals/0/161026IntegratedEquity2932.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112EE-DD41-4D15-867F-DB44A3B3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172553</dc:creator>
  <cp:lastModifiedBy>Valente-De Sa, Maria</cp:lastModifiedBy>
  <cp:revision>3</cp:revision>
  <dcterms:created xsi:type="dcterms:W3CDTF">2016-12-23T16:55:00Z</dcterms:created>
  <dcterms:modified xsi:type="dcterms:W3CDTF">2017-02-01T16:25:00Z</dcterms:modified>
</cp:coreProperties>
</file>