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06" w:rsidRPr="00644572" w:rsidRDefault="00644572" w:rsidP="00097A18">
      <w:pPr>
        <w:ind w:left="-1530"/>
        <w:rPr>
          <w:rFonts w:ascii="Myriad Pro" w:hAnsi="Myriad Pro"/>
          <w:b/>
          <w:sz w:val="28"/>
          <w:szCs w:val="28"/>
        </w:rPr>
      </w:pPr>
      <w:r w:rsidRPr="00644572">
        <w:rPr>
          <w:rFonts w:ascii="Myriad Pro" w:hAnsi="Myriad Pro"/>
          <w:b/>
          <w:sz w:val="28"/>
          <w:szCs w:val="28"/>
        </w:rPr>
        <w:t xml:space="preserve">COMMUNITY ADVISORY COMMITTEE MINUTES </w:t>
      </w:r>
    </w:p>
    <w:p w:rsidR="00644572" w:rsidRPr="00D52A94" w:rsidRDefault="00644572" w:rsidP="00097A18">
      <w:pPr>
        <w:ind w:left="-1530"/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Pr="00D52A94">
        <w:rPr>
          <w:b/>
        </w:rPr>
        <w:t>Committee Name</w:t>
      </w:r>
      <w:r w:rsidRPr="00D52A94">
        <w:t>:</w:t>
      </w:r>
      <w:r w:rsidR="00D52A94" w:rsidRPr="00D52A94">
        <w:t xml:space="preserve"> </w:t>
      </w:r>
      <w:r w:rsidRPr="00D52A94">
        <w:t xml:space="preserve"> </w:t>
      </w:r>
      <w:r w:rsidR="00D52A94" w:rsidRPr="00D52A94">
        <w:rPr>
          <w:rFonts w:eastAsia="PT Sans" w:cs="PT Sans"/>
        </w:rPr>
        <w:t>Environmental Sustainability Advisory Committee</w:t>
      </w:r>
    </w:p>
    <w:p w:rsidR="00644572" w:rsidRPr="00D52A94" w:rsidRDefault="00644572" w:rsidP="00097A18">
      <w:pPr>
        <w:ind w:left="-1530"/>
        <w:rPr>
          <w:b/>
        </w:rPr>
      </w:pPr>
      <w:r w:rsidRPr="00D52A94">
        <w:tab/>
      </w:r>
      <w:r w:rsidRPr="00D52A94">
        <w:tab/>
      </w:r>
      <w:r w:rsidRPr="00D52A94">
        <w:tab/>
      </w:r>
      <w:r w:rsidRPr="00D52A94">
        <w:tab/>
      </w:r>
      <w:r w:rsidRPr="00D52A94">
        <w:tab/>
      </w:r>
      <w:r w:rsidRPr="00D52A94">
        <w:tab/>
      </w:r>
      <w:r w:rsidRPr="00D52A94">
        <w:tab/>
      </w:r>
      <w:r w:rsidRPr="00D52A94">
        <w:rPr>
          <w:b/>
        </w:rPr>
        <w:t>Date:</w:t>
      </w:r>
      <w:r w:rsidR="00D52A94">
        <w:rPr>
          <w:b/>
        </w:rPr>
        <w:t xml:space="preserve"> </w:t>
      </w:r>
      <w:r w:rsidR="00820765">
        <w:rPr>
          <w:rFonts w:eastAsia="PT Sans" w:cs="PT Sans"/>
        </w:rPr>
        <w:t>February 6</w:t>
      </w:r>
      <w:r w:rsidR="00844111" w:rsidRPr="00844111">
        <w:rPr>
          <w:rFonts w:eastAsia="PT Sans" w:cs="PT Sans"/>
          <w:vertAlign w:val="superscript"/>
        </w:rPr>
        <w:t>th</w:t>
      </w:r>
      <w:r w:rsidR="00820765">
        <w:rPr>
          <w:rFonts w:eastAsia="PT Sans" w:cs="PT Sans"/>
        </w:rPr>
        <w:t>, 2018</w:t>
      </w:r>
    </w:p>
    <w:p w:rsidR="00644572" w:rsidRPr="00D52A94" w:rsidRDefault="00644572" w:rsidP="00097A18">
      <w:pPr>
        <w:ind w:left="-1530"/>
      </w:pPr>
      <w:r w:rsidRPr="00D52A94">
        <w:tab/>
      </w:r>
      <w:r w:rsidRPr="00D52A94">
        <w:tab/>
      </w:r>
      <w:r w:rsidRPr="00D52A94">
        <w:tab/>
      </w:r>
      <w:r w:rsidRPr="00D52A94">
        <w:tab/>
      </w:r>
      <w:r w:rsidRPr="00D52A94">
        <w:tab/>
      </w:r>
      <w:r w:rsidRPr="00D52A94">
        <w:tab/>
      </w:r>
      <w:r w:rsidRPr="00D52A94">
        <w:tab/>
      </w:r>
      <w:r w:rsidRPr="00D52A94">
        <w:rPr>
          <w:b/>
        </w:rPr>
        <w:t xml:space="preserve">Time: </w:t>
      </w:r>
      <w:r w:rsidR="00D52A94">
        <w:t>6:30 P.M.</w:t>
      </w:r>
    </w:p>
    <w:p w:rsidR="005D0363" w:rsidRPr="00A60CF5" w:rsidRDefault="00644572" w:rsidP="00097A18">
      <w:pPr>
        <w:ind w:left="-1530"/>
      </w:pPr>
      <w:r w:rsidRPr="00A60CF5">
        <w:rPr>
          <w:b/>
        </w:rPr>
        <w:t xml:space="preserve">Present: </w:t>
      </w:r>
      <w:r w:rsidR="00FC546F" w:rsidRPr="00A60CF5">
        <w:t xml:space="preserve"> </w:t>
      </w:r>
      <w:r w:rsidR="0004069D" w:rsidRPr="00A60CF5">
        <w:t xml:space="preserve">Alan Collier (Community Member), </w:t>
      </w:r>
      <w:r w:rsidR="00130CE3" w:rsidRPr="00A60CF5">
        <w:t xml:space="preserve">Leslie Domenico (parent), </w:t>
      </w:r>
      <w:r w:rsidR="00F37881" w:rsidRPr="00A60CF5">
        <w:t>Hilary Inwood (OISE)</w:t>
      </w:r>
      <w:r w:rsidR="00AE441F" w:rsidRPr="00A60CF5">
        <w:t xml:space="preserve">, </w:t>
      </w:r>
      <w:r w:rsidR="005F477C" w:rsidRPr="00A60CF5">
        <w:t xml:space="preserve">Sharon McNutt (Parent), </w:t>
      </w:r>
      <w:r w:rsidR="00634131" w:rsidRPr="00A60CF5">
        <w:t xml:space="preserve">Linda Naccarato (Earth Day Canada), Janelle Richards (Green Change), </w:t>
      </w:r>
      <w:r w:rsidR="005F477C" w:rsidRPr="00A60CF5">
        <w:t xml:space="preserve">Jessie Sawyers (Community Member), </w:t>
      </w:r>
      <w:r w:rsidR="005D0363" w:rsidRPr="00A60CF5">
        <w:t>Kristen Schaffer (</w:t>
      </w:r>
      <w:r w:rsidR="006073DA" w:rsidRPr="00A60CF5">
        <w:t>Student</w:t>
      </w:r>
      <w:r w:rsidR="005D0363" w:rsidRPr="00A60CF5">
        <w:t xml:space="preserve">, OISE), </w:t>
      </w:r>
      <w:r w:rsidR="00634131" w:rsidRPr="00A60CF5">
        <w:t>Vince Schutt (</w:t>
      </w:r>
      <w:proofErr w:type="spellStart"/>
      <w:r w:rsidR="00634131" w:rsidRPr="00A60CF5">
        <w:t>Environmentum</w:t>
      </w:r>
      <w:proofErr w:type="spellEnd"/>
      <w:r w:rsidR="00634131" w:rsidRPr="00A60CF5">
        <w:t xml:space="preserve">), </w:t>
      </w:r>
      <w:r w:rsidR="005F477C" w:rsidRPr="00A60CF5">
        <w:t>Stefan Sommer (CUPE 4400)</w:t>
      </w:r>
      <w:r w:rsidR="00DD0254" w:rsidRPr="00A60CF5">
        <w:t xml:space="preserve"> </w:t>
      </w:r>
      <w:r w:rsidR="00A60CF5" w:rsidRPr="00A60CF5">
        <w:t xml:space="preserve">Rachelle Winton-Dean (Community Member) </w:t>
      </w:r>
      <w:r w:rsidR="00815B0E" w:rsidRPr="00A60CF5">
        <w:t xml:space="preserve">and </w:t>
      </w:r>
      <w:r w:rsidR="00380316" w:rsidRPr="00A60CF5">
        <w:t>Manna Wong (Trustee)</w:t>
      </w:r>
      <w:r w:rsidR="00B21C85">
        <w:t>.</w:t>
      </w:r>
      <w:r w:rsidR="00130CE3" w:rsidRPr="00A60CF5">
        <w:t xml:space="preserve"> </w:t>
      </w:r>
    </w:p>
    <w:p w:rsidR="00C31BD7" w:rsidRPr="00A60CF5" w:rsidRDefault="00FC546F" w:rsidP="00097A18">
      <w:pPr>
        <w:ind w:left="-1530"/>
      </w:pPr>
      <w:r w:rsidRPr="00A60CF5">
        <w:rPr>
          <w:b/>
        </w:rPr>
        <w:t>TDSB:</w:t>
      </w:r>
      <w:r w:rsidR="005F477C" w:rsidRPr="00A60CF5">
        <w:rPr>
          <w:b/>
        </w:rPr>
        <w:t xml:space="preserve"> </w:t>
      </w:r>
      <w:r w:rsidR="005D0363" w:rsidRPr="00A60CF5">
        <w:rPr>
          <w:rFonts w:eastAsia="PT Sans" w:cs="Times New Roman"/>
        </w:rPr>
        <w:t>Richard Christie (</w:t>
      </w:r>
      <w:r w:rsidR="00815B0E" w:rsidRPr="00A60CF5">
        <w:rPr>
          <w:rFonts w:eastAsia="PT Sans" w:cs="Times New Roman"/>
        </w:rPr>
        <w:t>Sustainability</w:t>
      </w:r>
      <w:r w:rsidR="00130CE3" w:rsidRPr="00A60CF5">
        <w:rPr>
          <w:rFonts w:eastAsia="PT Sans" w:cs="Times New Roman"/>
        </w:rPr>
        <w:t xml:space="preserve"> Office</w:t>
      </w:r>
      <w:r w:rsidR="005D0363" w:rsidRPr="00A60CF5">
        <w:rPr>
          <w:rFonts w:eastAsia="PT Sans" w:cs="Times New Roman"/>
        </w:rPr>
        <w:t xml:space="preserve">), </w:t>
      </w:r>
      <w:r w:rsidR="002949AE" w:rsidRPr="00A60CF5">
        <w:rPr>
          <w:rFonts w:cs="Times New Roman"/>
        </w:rPr>
        <w:t>Esther Collier (T</w:t>
      </w:r>
      <w:r w:rsidR="00815B0E" w:rsidRPr="00A60CF5">
        <w:rPr>
          <w:rFonts w:cs="Times New Roman"/>
        </w:rPr>
        <w:t>eacher</w:t>
      </w:r>
      <w:r w:rsidR="002949AE" w:rsidRPr="00A60CF5">
        <w:rPr>
          <w:rFonts w:cs="Times New Roman"/>
        </w:rPr>
        <w:t xml:space="preserve">), </w:t>
      </w:r>
      <w:r w:rsidR="005D0363" w:rsidRPr="00A60CF5">
        <w:rPr>
          <w:rFonts w:eastAsia="PT Sans" w:cs="Times New Roman"/>
        </w:rPr>
        <w:t>Kristen Evers (Sustainability Office)</w:t>
      </w:r>
      <w:r w:rsidR="005D0363" w:rsidRPr="00A60CF5">
        <w:rPr>
          <w:rFonts w:cs="Times New Roman"/>
        </w:rPr>
        <w:t xml:space="preserve">, </w:t>
      </w:r>
      <w:r w:rsidR="002949AE" w:rsidRPr="00A60CF5">
        <w:rPr>
          <w:rFonts w:cs="Times New Roman"/>
        </w:rPr>
        <w:t>Serita Lawson (</w:t>
      </w:r>
      <w:proofErr w:type="spellStart"/>
      <w:r w:rsidR="00815B0E" w:rsidRPr="00A60CF5">
        <w:rPr>
          <w:rFonts w:cs="Times New Roman"/>
        </w:rPr>
        <w:t>EcoSchools</w:t>
      </w:r>
      <w:proofErr w:type="spellEnd"/>
      <w:r w:rsidR="00815B0E" w:rsidRPr="00A60CF5">
        <w:rPr>
          <w:rFonts w:cs="Times New Roman"/>
        </w:rPr>
        <w:t xml:space="preserve"> Certification Specialist</w:t>
      </w:r>
      <w:r w:rsidR="002949AE" w:rsidRPr="00A60CF5">
        <w:rPr>
          <w:rFonts w:cs="Times New Roman"/>
        </w:rPr>
        <w:t>)</w:t>
      </w:r>
      <w:r w:rsidR="00AE441F" w:rsidRPr="00A60CF5">
        <w:rPr>
          <w:rFonts w:cs="Times New Roman"/>
        </w:rPr>
        <w:t xml:space="preserve">, </w:t>
      </w:r>
      <w:r w:rsidR="00F37881" w:rsidRPr="00A60CF5">
        <w:rPr>
          <w:rFonts w:cs="Arial"/>
        </w:rPr>
        <w:t xml:space="preserve">Mauro </w:t>
      </w:r>
      <w:proofErr w:type="spellStart"/>
      <w:r w:rsidR="00F37881" w:rsidRPr="00A60CF5">
        <w:rPr>
          <w:rFonts w:cs="Arial"/>
        </w:rPr>
        <w:t>Paluzzi</w:t>
      </w:r>
      <w:proofErr w:type="spellEnd"/>
      <w:r w:rsidR="005F477C" w:rsidRPr="00A60CF5">
        <w:rPr>
          <w:rFonts w:cs="Times New Roman"/>
        </w:rPr>
        <w:t xml:space="preserve"> (Principal),</w:t>
      </w:r>
      <w:r w:rsidR="00815B0E" w:rsidRPr="00A60CF5">
        <w:rPr>
          <w:rFonts w:cs="Times New Roman"/>
        </w:rPr>
        <w:t xml:space="preserve"> </w:t>
      </w:r>
      <w:r w:rsidR="00130CE3" w:rsidRPr="00A60CF5">
        <w:rPr>
          <w:rFonts w:cs="Times New Roman"/>
        </w:rPr>
        <w:t xml:space="preserve">Jenn Vetter </w:t>
      </w:r>
      <w:r w:rsidR="00815B0E" w:rsidRPr="00A60CF5">
        <w:rPr>
          <w:rFonts w:cs="Times New Roman"/>
        </w:rPr>
        <w:t>(</w:t>
      </w:r>
      <w:r w:rsidR="00130CE3" w:rsidRPr="00A60CF5">
        <w:rPr>
          <w:rFonts w:eastAsia="PT Sans" w:cs="Times New Roman"/>
        </w:rPr>
        <w:t>Sustainability Office</w:t>
      </w:r>
      <w:r w:rsidR="00815B0E" w:rsidRPr="00A60CF5">
        <w:rPr>
          <w:rFonts w:cs="Times New Roman"/>
        </w:rPr>
        <w:t>)</w:t>
      </w:r>
      <w:r w:rsidR="00F37881" w:rsidRPr="00A60CF5">
        <w:rPr>
          <w:rFonts w:cs="Times New Roman"/>
        </w:rPr>
        <w:t xml:space="preserve">, </w:t>
      </w:r>
      <w:r w:rsidR="00A60CF5" w:rsidRPr="00A60CF5">
        <w:t>Ashleigh White</w:t>
      </w:r>
      <w:r w:rsidR="00A60CF5">
        <w:t xml:space="preserve"> (Teacher)</w:t>
      </w:r>
      <w:r w:rsidR="00A60CF5" w:rsidRPr="00A60CF5">
        <w:t xml:space="preserve">, </w:t>
      </w:r>
      <w:r w:rsidR="00F37881" w:rsidRPr="00A60CF5">
        <w:t>Doug Whiteside</w:t>
      </w:r>
      <w:r w:rsidR="00A60CF5">
        <w:t>(Teacher)</w:t>
      </w:r>
      <w:r w:rsidR="00A60CF5" w:rsidRPr="00A60CF5">
        <w:t xml:space="preserve"> and Kathryn Winton</w:t>
      </w:r>
      <w:r w:rsidR="00A60CF5">
        <w:t xml:space="preserve"> (Teacher)</w:t>
      </w:r>
      <w:r w:rsidR="00815B0E" w:rsidRPr="00A60CF5">
        <w:rPr>
          <w:rFonts w:cs="Times New Roman"/>
        </w:rPr>
        <w:t>.</w:t>
      </w:r>
    </w:p>
    <w:p w:rsidR="00644572" w:rsidRPr="00D810D3" w:rsidRDefault="002949AE" w:rsidP="00097A18">
      <w:pPr>
        <w:ind w:left="-1530"/>
      </w:pPr>
      <w:r w:rsidRPr="00D810D3">
        <w:rPr>
          <w:b/>
        </w:rPr>
        <w:t>Regrets</w:t>
      </w:r>
      <w:r w:rsidR="00644572" w:rsidRPr="00D810D3">
        <w:rPr>
          <w:b/>
        </w:rPr>
        <w:t>:</w:t>
      </w:r>
      <w:r w:rsidR="00FC546F" w:rsidRPr="00D810D3">
        <w:rPr>
          <w:b/>
        </w:rPr>
        <w:t xml:space="preserve"> </w:t>
      </w:r>
      <w:r w:rsidR="00A60CF5" w:rsidRPr="00D810D3">
        <w:t xml:space="preserve">Rebecca Carrier (Teacher), Priyan </w:t>
      </w:r>
      <w:r w:rsidR="00B21C85">
        <w:t xml:space="preserve">De Silva (Office Administrator), </w:t>
      </w:r>
      <w:r w:rsidR="00130CE3" w:rsidRPr="00D810D3">
        <w:t xml:space="preserve">Paula Gallo (Evergreen), </w:t>
      </w:r>
      <w:r w:rsidR="003F575F">
        <w:t>Pamela</w:t>
      </w:r>
      <w:r w:rsidR="004125A1">
        <w:t xml:space="preserve"> Gough </w:t>
      </w:r>
      <w:r w:rsidR="00B55EB1">
        <w:t>(</w:t>
      </w:r>
      <w:r w:rsidR="004125A1">
        <w:t xml:space="preserve">Trustee), </w:t>
      </w:r>
      <w:r w:rsidR="00A60CF5" w:rsidRPr="00D810D3">
        <w:t xml:space="preserve">Sunday Harrison (Green Thumbs Growing Kids), </w:t>
      </w:r>
      <w:r w:rsidRPr="00D810D3">
        <w:t>Catherine Leighton (TRCA)</w:t>
      </w:r>
      <w:r w:rsidR="00A60CF5" w:rsidRPr="00D810D3">
        <w:t>, Debby Martin (Evergreen)</w:t>
      </w:r>
      <w:r w:rsidRPr="00D810D3">
        <w:t xml:space="preserve">, </w:t>
      </w:r>
      <w:r w:rsidR="00130CE3" w:rsidRPr="00D810D3">
        <w:t>Annie Slater (Vice-Principal).</w:t>
      </w:r>
    </w:p>
    <w:p w:rsidR="00F37881" w:rsidRDefault="00844111" w:rsidP="00097A18">
      <w:pPr>
        <w:ind w:left="-1530"/>
      </w:pPr>
      <w:r w:rsidRPr="00634131">
        <w:rPr>
          <w:b/>
        </w:rPr>
        <w:t>Guests:</w:t>
      </w:r>
      <w:r w:rsidR="00F37881" w:rsidRPr="00634131">
        <w:t xml:space="preserve"> </w:t>
      </w:r>
      <w:r w:rsidR="00F37881">
        <w:t xml:space="preserve">Shelly </w:t>
      </w:r>
      <w:proofErr w:type="spellStart"/>
      <w:r w:rsidR="00F37881">
        <w:t>Candel</w:t>
      </w:r>
      <w:proofErr w:type="spellEnd"/>
      <w:r w:rsidR="005F477C">
        <w:t xml:space="preserve"> </w:t>
      </w:r>
      <w:r w:rsidR="00F37881">
        <w:t>(Bee City Canada)</w:t>
      </w:r>
    </w:p>
    <w:p w:rsidR="00644572" w:rsidRPr="005F2AA9" w:rsidRDefault="00644572" w:rsidP="00097A18">
      <w:pPr>
        <w:ind w:left="-1530"/>
      </w:pPr>
      <w:r w:rsidRPr="005F2AA9">
        <w:rPr>
          <w:b/>
        </w:rPr>
        <w:t>Recorder:</w:t>
      </w:r>
      <w:r w:rsidR="00FC546F" w:rsidRPr="005F2AA9">
        <w:rPr>
          <w:b/>
        </w:rPr>
        <w:t xml:space="preserve"> </w:t>
      </w:r>
      <w:r w:rsidR="00E94299" w:rsidRPr="005F2AA9">
        <w:rPr>
          <w:rFonts w:eastAsia="PT Sans" w:cs="Times New Roman"/>
        </w:rPr>
        <w:t>Kristen Evers</w:t>
      </w:r>
      <w:r w:rsidR="00FC546F" w:rsidRPr="005F2AA9">
        <w:rPr>
          <w:rFonts w:eastAsia="PT Sans" w:cs="Times New Roman"/>
        </w:rPr>
        <w:t xml:space="preserve"> (</w:t>
      </w:r>
      <w:r w:rsidR="00E94299" w:rsidRPr="005F2AA9">
        <w:rPr>
          <w:rFonts w:eastAsia="PT Sans" w:cs="Times New Roman"/>
        </w:rPr>
        <w:t>Green Projects Team Leader</w:t>
      </w:r>
      <w:r w:rsidR="00FC546F" w:rsidRPr="005F2AA9">
        <w:rPr>
          <w:rFonts w:eastAsia="PT Sans" w:cs="Times New Roman"/>
        </w:rPr>
        <w:t>, Sustainability Office)</w:t>
      </w:r>
    </w:p>
    <w:tbl>
      <w:tblPr>
        <w:tblStyle w:val="TableGrid"/>
        <w:tblW w:w="14328" w:type="dxa"/>
        <w:tblInd w:w="-1530" w:type="dxa"/>
        <w:tblLayout w:type="fixed"/>
        <w:tblLook w:val="04A0" w:firstRow="1" w:lastRow="0" w:firstColumn="1" w:lastColumn="0" w:noHBand="0" w:noVBand="1"/>
      </w:tblPr>
      <w:tblGrid>
        <w:gridCol w:w="2358"/>
        <w:gridCol w:w="9450"/>
        <w:gridCol w:w="2520"/>
      </w:tblGrid>
      <w:tr w:rsidR="00644572" w:rsidRPr="005F2AA9" w:rsidTr="00242FC2">
        <w:tc>
          <w:tcPr>
            <w:tcW w:w="2358" w:type="dxa"/>
          </w:tcPr>
          <w:p w:rsidR="00644572" w:rsidRPr="005F2AA9" w:rsidRDefault="00644572" w:rsidP="00644572">
            <w:pPr>
              <w:jc w:val="center"/>
              <w:rPr>
                <w:b/>
              </w:rPr>
            </w:pPr>
            <w:r w:rsidRPr="005F2AA9">
              <w:rPr>
                <w:b/>
              </w:rPr>
              <w:t>ITEM</w:t>
            </w:r>
          </w:p>
        </w:tc>
        <w:tc>
          <w:tcPr>
            <w:tcW w:w="9450" w:type="dxa"/>
          </w:tcPr>
          <w:p w:rsidR="00644572" w:rsidRPr="005F2AA9" w:rsidRDefault="00644572" w:rsidP="00644572">
            <w:pPr>
              <w:jc w:val="center"/>
              <w:rPr>
                <w:b/>
              </w:rPr>
            </w:pPr>
            <w:r w:rsidRPr="005F2AA9">
              <w:rPr>
                <w:b/>
              </w:rPr>
              <w:t>DISCUSSION</w:t>
            </w:r>
          </w:p>
        </w:tc>
        <w:tc>
          <w:tcPr>
            <w:tcW w:w="2520" w:type="dxa"/>
          </w:tcPr>
          <w:p w:rsidR="00644572" w:rsidRPr="005F2AA9" w:rsidRDefault="005F2AA9" w:rsidP="005C5131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644572" w:rsidRPr="005F2AA9" w:rsidTr="00242FC2">
        <w:tc>
          <w:tcPr>
            <w:tcW w:w="2358" w:type="dxa"/>
          </w:tcPr>
          <w:p w:rsidR="00644572" w:rsidRPr="005F2AA9" w:rsidRDefault="00B960E3" w:rsidP="00B960E3">
            <w:r w:rsidRPr="005F2AA9">
              <w:t>Call to Order</w:t>
            </w:r>
            <w:r w:rsidR="00644572" w:rsidRPr="005F2AA9">
              <w:t xml:space="preserve"> </w:t>
            </w:r>
          </w:p>
        </w:tc>
        <w:tc>
          <w:tcPr>
            <w:tcW w:w="9450" w:type="dxa"/>
          </w:tcPr>
          <w:p w:rsidR="00C31BD7" w:rsidRPr="005F2AA9" w:rsidRDefault="00F56FD5" w:rsidP="00097A18">
            <w:r w:rsidRPr="005F2AA9">
              <w:t>Meeting call</w:t>
            </w:r>
            <w:r w:rsidR="007A6647" w:rsidRPr="005F2AA9">
              <w:t>ed to order.</w:t>
            </w:r>
          </w:p>
          <w:p w:rsidR="00F56FD5" w:rsidRPr="005F2AA9" w:rsidRDefault="007A6647" w:rsidP="00097A18">
            <w:r w:rsidRPr="005F2AA9">
              <w:t>Welcome and i</w:t>
            </w:r>
            <w:r w:rsidR="00F56FD5" w:rsidRPr="005F2AA9">
              <w:t>ntroductions</w:t>
            </w:r>
            <w:r w:rsidRPr="005F2AA9">
              <w:t>.</w:t>
            </w:r>
          </w:p>
          <w:p w:rsidR="007A6647" w:rsidRPr="005F2AA9" w:rsidRDefault="007A6647" w:rsidP="00097A18"/>
        </w:tc>
        <w:tc>
          <w:tcPr>
            <w:tcW w:w="2520" w:type="dxa"/>
          </w:tcPr>
          <w:p w:rsidR="00644572" w:rsidRPr="005F2AA9" w:rsidRDefault="00644572" w:rsidP="00097A18"/>
        </w:tc>
      </w:tr>
      <w:tr w:rsidR="00644572" w:rsidRPr="005F2AA9" w:rsidTr="00242FC2">
        <w:tc>
          <w:tcPr>
            <w:tcW w:w="2358" w:type="dxa"/>
          </w:tcPr>
          <w:p w:rsidR="00644572" w:rsidRPr="005F2AA9" w:rsidRDefault="007A6647" w:rsidP="00820765">
            <w:r w:rsidRPr="005F2AA9">
              <w:rPr>
                <w:rFonts w:eastAsia="PT Sans" w:cs="Times New Roman"/>
              </w:rPr>
              <w:t xml:space="preserve">Approval of </w:t>
            </w:r>
            <w:r w:rsidR="00820765">
              <w:rPr>
                <w:rFonts w:eastAsia="PT Sans" w:cs="Times New Roman"/>
              </w:rPr>
              <w:t>December 5</w:t>
            </w:r>
            <w:r w:rsidR="00B960E3" w:rsidRPr="005F2AA9">
              <w:rPr>
                <w:rFonts w:eastAsia="PT Sans" w:cs="Times New Roman"/>
                <w:vertAlign w:val="superscript"/>
              </w:rPr>
              <w:t>th</w:t>
            </w:r>
            <w:r w:rsidR="00B960E3" w:rsidRPr="005F2AA9">
              <w:rPr>
                <w:rFonts w:eastAsia="PT Sans" w:cs="Times New Roman"/>
              </w:rPr>
              <w:t xml:space="preserve"> </w:t>
            </w:r>
            <w:r w:rsidR="00380316" w:rsidRPr="005F2AA9">
              <w:rPr>
                <w:rFonts w:eastAsia="PT Sans" w:cs="Times New Roman"/>
                <w:vertAlign w:val="superscript"/>
              </w:rPr>
              <w:t xml:space="preserve"> </w:t>
            </w:r>
            <w:r w:rsidRPr="005F2AA9">
              <w:rPr>
                <w:rFonts w:eastAsia="PT Sans" w:cs="Times New Roman"/>
              </w:rPr>
              <w:t>Minutes</w:t>
            </w:r>
          </w:p>
        </w:tc>
        <w:tc>
          <w:tcPr>
            <w:tcW w:w="9450" w:type="dxa"/>
          </w:tcPr>
          <w:p w:rsidR="007A6647" w:rsidRPr="005F2AA9" w:rsidRDefault="007A6647" w:rsidP="00820765">
            <w:pPr>
              <w:rPr>
                <w:rFonts w:cs="Times New Roman"/>
              </w:rPr>
            </w:pPr>
            <w:r w:rsidRPr="005F2AA9">
              <w:rPr>
                <w:rFonts w:cs="Times New Roman"/>
              </w:rPr>
              <w:t xml:space="preserve">The </w:t>
            </w:r>
            <w:r w:rsidR="00820765">
              <w:rPr>
                <w:rFonts w:cs="Times New Roman"/>
              </w:rPr>
              <w:t>December 5</w:t>
            </w:r>
            <w:r w:rsidR="00B960E3" w:rsidRPr="005F2AA9">
              <w:rPr>
                <w:rFonts w:cs="Times New Roman"/>
                <w:vertAlign w:val="superscript"/>
              </w:rPr>
              <w:t>th</w:t>
            </w:r>
            <w:r w:rsidR="00D2038E" w:rsidRPr="005F2AA9">
              <w:rPr>
                <w:rFonts w:cs="Times New Roman"/>
              </w:rPr>
              <w:t>, 2017</w:t>
            </w:r>
            <w:r w:rsidR="005767C5" w:rsidRPr="005F2AA9">
              <w:rPr>
                <w:rFonts w:cs="Times New Roman"/>
              </w:rPr>
              <w:t xml:space="preserve"> meeting</w:t>
            </w:r>
            <w:r w:rsidR="00D2038E" w:rsidRPr="005F2AA9">
              <w:rPr>
                <w:rFonts w:cs="Times New Roman"/>
              </w:rPr>
              <w:t xml:space="preserve"> </w:t>
            </w:r>
            <w:r w:rsidR="005767C5" w:rsidRPr="005F2AA9">
              <w:rPr>
                <w:rFonts w:cs="Times New Roman"/>
              </w:rPr>
              <w:t xml:space="preserve">minutes </w:t>
            </w:r>
            <w:r w:rsidR="00D2038E" w:rsidRPr="005F2AA9">
              <w:rPr>
                <w:rFonts w:cs="Times New Roman"/>
              </w:rPr>
              <w:t xml:space="preserve">were approved. </w:t>
            </w:r>
          </w:p>
        </w:tc>
        <w:tc>
          <w:tcPr>
            <w:tcW w:w="2520" w:type="dxa"/>
          </w:tcPr>
          <w:p w:rsidR="00644572" w:rsidRPr="005F2AA9" w:rsidRDefault="00644572" w:rsidP="00097A18"/>
        </w:tc>
      </w:tr>
      <w:tr w:rsidR="00820765" w:rsidRPr="005F2AA9" w:rsidTr="00242FC2">
        <w:tc>
          <w:tcPr>
            <w:tcW w:w="2358" w:type="dxa"/>
          </w:tcPr>
          <w:p w:rsidR="00820765" w:rsidRDefault="00820765" w:rsidP="00820765">
            <w:r>
              <w:lastRenderedPageBreak/>
              <w:t xml:space="preserve">Shelly </w:t>
            </w:r>
            <w:proofErr w:type="spellStart"/>
            <w:r>
              <w:t>Candel</w:t>
            </w:r>
            <w:proofErr w:type="spellEnd"/>
            <w:r>
              <w:t>,</w:t>
            </w:r>
            <w:r w:rsidRPr="00386802">
              <w:t xml:space="preserve"> Bee City Canada School program</w:t>
            </w:r>
          </w:p>
          <w:p w:rsidR="00820765" w:rsidRDefault="00820765" w:rsidP="00820765"/>
          <w:p w:rsidR="00820765" w:rsidRPr="00386802" w:rsidRDefault="00820765" w:rsidP="00820765">
            <w:r>
              <w:t xml:space="preserve">Ashleigh White &amp; Doug </w:t>
            </w:r>
            <w:r w:rsidR="00DD0960">
              <w:t>Whiteside</w:t>
            </w:r>
            <w:r>
              <w:t>, Teachers at Tredway Woodsworth PS</w:t>
            </w:r>
          </w:p>
        </w:tc>
        <w:tc>
          <w:tcPr>
            <w:tcW w:w="9450" w:type="dxa"/>
          </w:tcPr>
          <w:p w:rsidR="00820765" w:rsidRDefault="00820765" w:rsidP="00906AFD">
            <w:pPr>
              <w:pStyle w:val="ListParagraph"/>
              <w:numPr>
                <w:ilvl w:val="0"/>
                <w:numId w:val="16"/>
              </w:numPr>
            </w:pPr>
            <w:r>
              <w:t xml:space="preserve">Shelley </w:t>
            </w:r>
            <w:proofErr w:type="spellStart"/>
            <w:r w:rsidR="00906AFD">
              <w:t>Candel</w:t>
            </w:r>
            <w:proofErr w:type="spellEnd"/>
            <w:r w:rsidR="00906AFD">
              <w:t xml:space="preserve"> introduced Bee City Canada, a charitable organization modeled after Bee City USA, aimed at inspiring Canadians to take action to protect pollinators</w:t>
            </w:r>
          </w:p>
          <w:p w:rsidR="00906AFD" w:rsidRDefault="00906AFD" w:rsidP="00906AFD">
            <w:pPr>
              <w:pStyle w:val="ListParagraph"/>
              <w:numPr>
                <w:ilvl w:val="0"/>
                <w:numId w:val="16"/>
              </w:numPr>
            </w:pPr>
            <w:r>
              <w:t xml:space="preserve">Bee City Canada now offers a School Program. </w:t>
            </w:r>
            <w:r w:rsidR="003551C8">
              <w:t>Participating</w:t>
            </w:r>
            <w:r>
              <w:t xml:space="preserve"> schools must</w:t>
            </w:r>
            <w:r w:rsidR="003551C8">
              <w:t xml:space="preserve"> commit to</w:t>
            </w:r>
            <w:r>
              <w:t>:</w:t>
            </w:r>
          </w:p>
          <w:p w:rsidR="00906AFD" w:rsidRDefault="00906AFD" w:rsidP="00906AFD">
            <w:pPr>
              <w:pStyle w:val="ListParagraph"/>
              <w:numPr>
                <w:ilvl w:val="0"/>
                <w:numId w:val="16"/>
              </w:numPr>
              <w:ind w:left="1152"/>
            </w:pPr>
            <w:r>
              <w:t>Form</w:t>
            </w:r>
            <w:r w:rsidR="003551C8">
              <w:t>ing</w:t>
            </w:r>
            <w:r>
              <w:t xml:space="preserve"> a committee</w:t>
            </w:r>
          </w:p>
          <w:p w:rsidR="00906AFD" w:rsidRDefault="00906AFD" w:rsidP="00906AFD">
            <w:pPr>
              <w:pStyle w:val="ListParagraph"/>
              <w:numPr>
                <w:ilvl w:val="0"/>
                <w:numId w:val="16"/>
              </w:numPr>
              <w:ind w:left="1152"/>
            </w:pPr>
            <w:r>
              <w:t>Plant</w:t>
            </w:r>
            <w:r w:rsidR="003551C8">
              <w:t xml:space="preserve">ing </w:t>
            </w:r>
            <w:r>
              <w:t xml:space="preserve">a </w:t>
            </w:r>
            <w:r w:rsidR="003551C8">
              <w:t>pollinator</w:t>
            </w:r>
            <w:r>
              <w:t xml:space="preserve"> garden</w:t>
            </w:r>
          </w:p>
          <w:p w:rsidR="00906AFD" w:rsidRDefault="003551C8" w:rsidP="00906AFD">
            <w:pPr>
              <w:pStyle w:val="ListParagraph"/>
              <w:numPr>
                <w:ilvl w:val="0"/>
                <w:numId w:val="16"/>
              </w:numPr>
              <w:ind w:left="1152"/>
            </w:pPr>
            <w:r>
              <w:t xml:space="preserve">Educating </w:t>
            </w:r>
          </w:p>
          <w:p w:rsidR="003551C8" w:rsidRDefault="003551C8" w:rsidP="00906AFD">
            <w:pPr>
              <w:pStyle w:val="ListParagraph"/>
              <w:numPr>
                <w:ilvl w:val="0"/>
                <w:numId w:val="16"/>
              </w:numPr>
              <w:ind w:left="1152"/>
            </w:pPr>
            <w:r>
              <w:t>Celebrating</w:t>
            </w:r>
          </w:p>
          <w:p w:rsidR="00906AFD" w:rsidRDefault="00B21C85" w:rsidP="00906AFD">
            <w:pPr>
              <w:pStyle w:val="ListParagraph"/>
              <w:numPr>
                <w:ilvl w:val="0"/>
                <w:numId w:val="16"/>
              </w:numPr>
            </w:pPr>
            <w:r>
              <w:t>Teac</w:t>
            </w:r>
            <w:bookmarkStart w:id="0" w:name="_GoBack"/>
            <w:bookmarkEnd w:id="0"/>
            <w:r w:rsidR="003551C8">
              <w:t xml:space="preserve">hers at Tredway </w:t>
            </w:r>
            <w:proofErr w:type="spellStart"/>
            <w:r w:rsidR="003551C8">
              <w:t>Woodsworth</w:t>
            </w:r>
            <w:proofErr w:type="spellEnd"/>
            <w:r w:rsidR="003551C8">
              <w:t xml:space="preserve"> PS, described </w:t>
            </w:r>
            <w:r w:rsidR="00F104FF">
              <w:t xml:space="preserve">some of </w:t>
            </w:r>
            <w:r w:rsidR="003551C8">
              <w:t>the benefits they’ve experienced through the</w:t>
            </w:r>
            <w:r w:rsidR="005E29A3">
              <w:t xml:space="preserve"> school’s participation in the</w:t>
            </w:r>
            <w:r w:rsidR="003551C8">
              <w:t xml:space="preserve"> Bee City School Program</w:t>
            </w:r>
            <w:r w:rsidR="00F104FF">
              <w:t xml:space="preserve">: </w:t>
            </w:r>
          </w:p>
          <w:p w:rsidR="00F104FF" w:rsidRDefault="00F104FF" w:rsidP="005E29A3">
            <w:pPr>
              <w:pStyle w:val="ListParagraph"/>
              <w:numPr>
                <w:ilvl w:val="0"/>
                <w:numId w:val="16"/>
              </w:numPr>
              <w:ind w:left="1152"/>
            </w:pPr>
            <w:r>
              <w:t>Hands-on learning to help students understand the connection between content and their environment</w:t>
            </w:r>
          </w:p>
          <w:p w:rsidR="00F104FF" w:rsidRDefault="00F104FF" w:rsidP="005E29A3">
            <w:pPr>
              <w:pStyle w:val="ListParagraph"/>
              <w:numPr>
                <w:ilvl w:val="0"/>
                <w:numId w:val="16"/>
              </w:numPr>
              <w:ind w:left="1152"/>
            </w:pPr>
            <w:r>
              <w:t>Students learn and apply problem solving model to situations that offer a real-world context</w:t>
            </w:r>
          </w:p>
          <w:p w:rsidR="00F104FF" w:rsidRDefault="00F104FF" w:rsidP="005E29A3">
            <w:pPr>
              <w:pStyle w:val="ListParagraph"/>
              <w:numPr>
                <w:ilvl w:val="0"/>
                <w:numId w:val="16"/>
              </w:numPr>
              <w:ind w:left="1152"/>
            </w:pPr>
            <w:r>
              <w:t>Students feel successful</w:t>
            </w:r>
          </w:p>
          <w:p w:rsidR="00F104FF" w:rsidRPr="001B3E99" w:rsidRDefault="005E29A3" w:rsidP="005E29A3">
            <w:pPr>
              <w:pStyle w:val="ListParagraph"/>
              <w:numPr>
                <w:ilvl w:val="0"/>
                <w:numId w:val="16"/>
              </w:numPr>
              <w:ind w:left="1152"/>
            </w:pPr>
            <w:r>
              <w:t>STEM and Global Competencies connections</w:t>
            </w:r>
          </w:p>
        </w:tc>
        <w:tc>
          <w:tcPr>
            <w:tcW w:w="2520" w:type="dxa"/>
          </w:tcPr>
          <w:p w:rsidR="00820765" w:rsidRDefault="00820765" w:rsidP="00457DDE"/>
          <w:p w:rsidR="00820765" w:rsidRDefault="00820765" w:rsidP="00457DDE"/>
          <w:p w:rsidR="00820765" w:rsidRPr="005F2AA9" w:rsidRDefault="00820765" w:rsidP="00457DDE"/>
        </w:tc>
      </w:tr>
      <w:tr w:rsidR="00820765" w:rsidRPr="005F2AA9" w:rsidTr="00242FC2">
        <w:tc>
          <w:tcPr>
            <w:tcW w:w="2358" w:type="dxa"/>
          </w:tcPr>
          <w:p w:rsidR="00820765" w:rsidRPr="00386802" w:rsidRDefault="00820765" w:rsidP="0069032C">
            <w:r w:rsidRPr="00386802">
              <w:t xml:space="preserve">Play Policy Updates </w:t>
            </w:r>
          </w:p>
        </w:tc>
        <w:tc>
          <w:tcPr>
            <w:tcW w:w="9450" w:type="dxa"/>
          </w:tcPr>
          <w:p w:rsidR="00820765" w:rsidRDefault="00B23DC9" w:rsidP="001B3E99">
            <w:pPr>
              <w:pStyle w:val="ListParagraph"/>
              <w:numPr>
                <w:ilvl w:val="0"/>
                <w:numId w:val="13"/>
              </w:numPr>
              <w:ind w:left="767" w:hanging="450"/>
            </w:pPr>
            <w:r>
              <w:t>ESAC hosted a “Lunch and Learn” session at the January 19</w:t>
            </w:r>
            <w:r w:rsidRPr="00B23DC9">
              <w:rPr>
                <w:vertAlign w:val="superscript"/>
              </w:rPr>
              <w:t>th</w:t>
            </w:r>
            <w:r>
              <w:t xml:space="preserve"> OPAL Symposium to </w:t>
            </w:r>
            <w:r w:rsidR="00240A4E">
              <w:t xml:space="preserve">gather feedback from attendees on </w:t>
            </w:r>
            <w:r w:rsidR="005C5131">
              <w:t>the development of a play policy</w:t>
            </w:r>
            <w:r w:rsidR="00876F81">
              <w:t xml:space="preserve">. </w:t>
            </w:r>
          </w:p>
          <w:p w:rsidR="00876F81" w:rsidRDefault="00876F81" w:rsidP="001B3E99">
            <w:pPr>
              <w:pStyle w:val="ListParagraph"/>
              <w:numPr>
                <w:ilvl w:val="0"/>
                <w:numId w:val="13"/>
              </w:numPr>
              <w:ind w:left="767" w:hanging="450"/>
            </w:pPr>
            <w:r>
              <w:t>In small groups, attendees commented on the following:</w:t>
            </w:r>
          </w:p>
          <w:p w:rsidR="00E71055" w:rsidRDefault="00876F81" w:rsidP="00876F81">
            <w:pPr>
              <w:pStyle w:val="ListParagraph"/>
              <w:numPr>
                <w:ilvl w:val="0"/>
                <w:numId w:val="13"/>
              </w:numPr>
              <w:ind w:left="1242" w:hanging="450"/>
            </w:pPr>
            <w:r>
              <w:t>General</w:t>
            </w:r>
            <w:r w:rsidR="00E71055">
              <w:t xml:space="preserve"> thoughts on the TDSB </w:t>
            </w:r>
            <w:r>
              <w:t>creating a policy on play</w:t>
            </w:r>
          </w:p>
          <w:p w:rsidR="00E71055" w:rsidRDefault="00876F81" w:rsidP="00876F81">
            <w:pPr>
              <w:pStyle w:val="ListParagraph"/>
              <w:numPr>
                <w:ilvl w:val="0"/>
                <w:numId w:val="13"/>
              </w:numPr>
              <w:ind w:left="1242" w:hanging="450"/>
            </w:pPr>
            <w:r>
              <w:t>Q</w:t>
            </w:r>
            <w:r w:rsidR="00E71055">
              <w:t>uestions and concerns regar</w:t>
            </w:r>
            <w:r>
              <w:t>ding a play policy for the TDSB</w:t>
            </w:r>
          </w:p>
          <w:p w:rsidR="00E71055" w:rsidRDefault="00876F81" w:rsidP="00876F81">
            <w:pPr>
              <w:pStyle w:val="ListParagraph"/>
              <w:numPr>
                <w:ilvl w:val="0"/>
                <w:numId w:val="13"/>
              </w:numPr>
              <w:ind w:left="1242" w:hanging="450"/>
            </w:pPr>
            <w:r>
              <w:t>Features that would be important to include in a policy</w:t>
            </w:r>
          </w:p>
          <w:p w:rsidR="00E71055" w:rsidRDefault="00876F81" w:rsidP="00876F81">
            <w:pPr>
              <w:pStyle w:val="ListParagraph"/>
              <w:numPr>
                <w:ilvl w:val="0"/>
                <w:numId w:val="13"/>
              </w:numPr>
              <w:ind w:left="1242" w:hanging="450"/>
            </w:pPr>
            <w:r>
              <w:t>Parties that</w:t>
            </w:r>
            <w:r w:rsidR="00E71055">
              <w:t xml:space="preserve"> should be included in </w:t>
            </w:r>
            <w:r>
              <w:t>the conversation</w:t>
            </w:r>
          </w:p>
          <w:p w:rsidR="005C5131" w:rsidRDefault="005C5131" w:rsidP="001B3E99">
            <w:pPr>
              <w:pStyle w:val="ListParagraph"/>
              <w:numPr>
                <w:ilvl w:val="0"/>
                <w:numId w:val="13"/>
              </w:numPr>
              <w:ind w:left="767" w:hanging="450"/>
            </w:pPr>
            <w:r>
              <w:t>Next steps:</w:t>
            </w:r>
          </w:p>
          <w:p w:rsidR="005C5131" w:rsidRDefault="005C5131" w:rsidP="005C5131">
            <w:pPr>
              <w:pStyle w:val="ListParagraph"/>
              <w:numPr>
                <w:ilvl w:val="0"/>
                <w:numId w:val="13"/>
              </w:numPr>
              <w:ind w:left="1152" w:hanging="450"/>
            </w:pPr>
            <w:r>
              <w:t xml:space="preserve">ESAC </w:t>
            </w:r>
            <w:r w:rsidR="003551C8">
              <w:t>will prepare a document to share with Trustees, outlining research to support the importance of play and recommendations for a policy</w:t>
            </w:r>
          </w:p>
          <w:p w:rsidR="003551C8" w:rsidRPr="001B3E99" w:rsidRDefault="003551C8" w:rsidP="005C5131">
            <w:pPr>
              <w:pStyle w:val="ListParagraph"/>
              <w:numPr>
                <w:ilvl w:val="0"/>
                <w:numId w:val="13"/>
              </w:numPr>
              <w:ind w:left="1152" w:hanging="450"/>
            </w:pPr>
            <w:r>
              <w:t>Once document is prepared, ESAC will make a recommendation to the Board that a Play Policy be developed</w:t>
            </w:r>
          </w:p>
        </w:tc>
        <w:tc>
          <w:tcPr>
            <w:tcW w:w="2520" w:type="dxa"/>
          </w:tcPr>
          <w:p w:rsidR="00820765" w:rsidRPr="005F2AA9" w:rsidRDefault="003551C8" w:rsidP="00242FC2">
            <w:r>
              <w:t>Anyone interested in helping ES</w:t>
            </w:r>
            <w:r w:rsidR="00242FC2">
              <w:t xml:space="preserve">AC Co-Chairs prepare a document in support of a play policy </w:t>
            </w:r>
            <w:r>
              <w:t xml:space="preserve">that will later be presented to Trustees can contact </w:t>
            </w:r>
            <w:hyperlink r:id="rId9" w:history="1">
              <w:r w:rsidRPr="00607E63">
                <w:rPr>
                  <w:rStyle w:val="Hyperlink"/>
                </w:rPr>
                <w:t>kristen.evers@tdsb.on.ca</w:t>
              </w:r>
            </w:hyperlink>
            <w:r>
              <w:t xml:space="preserve"> </w:t>
            </w:r>
          </w:p>
        </w:tc>
      </w:tr>
      <w:tr w:rsidR="00820765" w:rsidRPr="005F2AA9" w:rsidTr="00242FC2">
        <w:tc>
          <w:tcPr>
            <w:tcW w:w="2358" w:type="dxa"/>
          </w:tcPr>
          <w:p w:rsidR="00820765" w:rsidRDefault="004125A1" w:rsidP="0069032C">
            <w:r>
              <w:t>New</w:t>
            </w:r>
            <w:r w:rsidR="00820765" w:rsidRPr="00386802">
              <w:t xml:space="preserve"> Business</w:t>
            </w:r>
          </w:p>
        </w:tc>
        <w:tc>
          <w:tcPr>
            <w:tcW w:w="9450" w:type="dxa"/>
          </w:tcPr>
          <w:p w:rsidR="00820765" w:rsidRPr="004125A1" w:rsidRDefault="004125A1" w:rsidP="004125A1">
            <w:pPr>
              <w:rPr>
                <w:i/>
              </w:rPr>
            </w:pPr>
            <w:r w:rsidRPr="004125A1">
              <w:rPr>
                <w:i/>
              </w:rPr>
              <w:t>Joint Labour/Management Environment Committee</w:t>
            </w:r>
          </w:p>
          <w:p w:rsidR="004125A1" w:rsidRDefault="004125A1" w:rsidP="004125A1"/>
          <w:p w:rsidR="004125A1" w:rsidRDefault="004125A1" w:rsidP="004125A1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The Toronto and York Labour Council recently approached the TDSB, expressing an interest in forming a joint labour/management environment committee.</w:t>
            </w:r>
          </w:p>
          <w:p w:rsidR="004125A1" w:rsidRDefault="004125A1" w:rsidP="004125A1">
            <w:pPr>
              <w:pStyle w:val="ListParagraph"/>
              <w:numPr>
                <w:ilvl w:val="0"/>
                <w:numId w:val="13"/>
              </w:numPr>
            </w:pPr>
            <w:r>
              <w:t>Richard Christie and Chris Chandler (OSSTF) will co-chair the committee</w:t>
            </w:r>
          </w:p>
          <w:p w:rsidR="004125A1" w:rsidRDefault="004125A1" w:rsidP="004125A1">
            <w:pPr>
              <w:pStyle w:val="ListParagraph"/>
              <w:numPr>
                <w:ilvl w:val="0"/>
                <w:numId w:val="13"/>
              </w:numPr>
            </w:pPr>
            <w:r>
              <w:t>Two subcommittees will be formed, focusing on:</w:t>
            </w:r>
          </w:p>
          <w:p w:rsidR="004125A1" w:rsidRDefault="004125A1" w:rsidP="004125A1">
            <w:pPr>
              <w:pStyle w:val="ListParagraph"/>
              <w:numPr>
                <w:ilvl w:val="0"/>
                <w:numId w:val="13"/>
              </w:numPr>
              <w:ind w:left="1152"/>
            </w:pPr>
            <w:r>
              <w:t xml:space="preserve">Curriculum, </w:t>
            </w:r>
            <w:proofErr w:type="spellStart"/>
            <w:r>
              <w:t>EcoSchools</w:t>
            </w:r>
            <w:proofErr w:type="spellEnd"/>
            <w:r>
              <w:t xml:space="preserve"> and Waste Management</w:t>
            </w:r>
          </w:p>
          <w:p w:rsidR="004125A1" w:rsidRDefault="004125A1" w:rsidP="004125A1">
            <w:pPr>
              <w:pStyle w:val="ListParagraph"/>
              <w:numPr>
                <w:ilvl w:val="0"/>
                <w:numId w:val="13"/>
              </w:numPr>
              <w:ind w:left="1152"/>
            </w:pPr>
            <w:r>
              <w:t>Energy/Green Buildings</w:t>
            </w:r>
          </w:p>
          <w:p w:rsidR="004125A1" w:rsidRDefault="00242FC2" w:rsidP="004125A1">
            <w:pPr>
              <w:pStyle w:val="ListParagraph"/>
              <w:numPr>
                <w:ilvl w:val="0"/>
                <w:numId w:val="13"/>
              </w:numPr>
            </w:pPr>
            <w:r>
              <w:t>It is recommended</w:t>
            </w:r>
            <w:r w:rsidR="00DD0960">
              <w:t xml:space="preserve"> that the committee connects with ESAC, and does not work in isolation</w:t>
            </w:r>
          </w:p>
          <w:p w:rsidR="00DD0960" w:rsidRDefault="00DD0960" w:rsidP="00DD0960"/>
          <w:p w:rsidR="00DD0960" w:rsidRDefault="00DD0960" w:rsidP="00DD0960">
            <w:r>
              <w:rPr>
                <w:i/>
              </w:rPr>
              <w:t xml:space="preserve">OISE/TDSB </w:t>
            </w:r>
            <w:proofErr w:type="spellStart"/>
            <w:r>
              <w:rPr>
                <w:i/>
              </w:rPr>
              <w:t>EcoSchools</w:t>
            </w:r>
            <w:proofErr w:type="spellEnd"/>
            <w:r>
              <w:rPr>
                <w:i/>
              </w:rPr>
              <w:t xml:space="preserve"> Conference</w:t>
            </w:r>
          </w:p>
          <w:p w:rsidR="00DD0960" w:rsidRDefault="00DD0960" w:rsidP="00DD0960">
            <w:pPr>
              <w:pStyle w:val="ListParagraph"/>
              <w:numPr>
                <w:ilvl w:val="0"/>
                <w:numId w:val="13"/>
              </w:numPr>
            </w:pPr>
            <w:r>
              <w:t xml:space="preserve">The second annual OISE/TDSB </w:t>
            </w:r>
            <w:proofErr w:type="spellStart"/>
            <w:r>
              <w:t>EcoSchool</w:t>
            </w:r>
            <w:proofErr w:type="spellEnd"/>
            <w:r>
              <w:t xml:space="preserve"> Conference was held on January 27</w:t>
            </w:r>
            <w:r w:rsidRPr="00DD0960">
              <w:rPr>
                <w:vertAlign w:val="superscript"/>
              </w:rPr>
              <w:t>th</w:t>
            </w:r>
            <w:r>
              <w:t xml:space="preserve"> </w:t>
            </w:r>
          </w:p>
          <w:p w:rsidR="00DD0960" w:rsidRDefault="00DD0960" w:rsidP="00DD0960">
            <w:pPr>
              <w:pStyle w:val="ListParagraph"/>
              <w:numPr>
                <w:ilvl w:val="0"/>
                <w:numId w:val="13"/>
              </w:numPr>
            </w:pPr>
            <w:r>
              <w:t xml:space="preserve">220 people attended </w:t>
            </w:r>
          </w:p>
          <w:p w:rsidR="00DD0960" w:rsidRDefault="00B15BC5" w:rsidP="00DD0960">
            <w:pPr>
              <w:pStyle w:val="ListParagraph"/>
              <w:numPr>
                <w:ilvl w:val="0"/>
                <w:numId w:val="13"/>
              </w:numPr>
            </w:pPr>
            <w:r>
              <w:t>Pollinating P</w:t>
            </w:r>
            <w:r w:rsidR="00DD0960">
              <w:t>artnerships, a year-end Learning Carousel open to all TDSB staff, will be held on June 12</w:t>
            </w:r>
          </w:p>
          <w:p w:rsidR="00DD0960" w:rsidRDefault="00DD0960" w:rsidP="00DD0960">
            <w:pPr>
              <w:pStyle w:val="ListParagraph"/>
              <w:numPr>
                <w:ilvl w:val="0"/>
                <w:numId w:val="13"/>
              </w:numPr>
            </w:pPr>
          </w:p>
          <w:p w:rsidR="00DD0960" w:rsidRDefault="00DD0960" w:rsidP="00DD0960">
            <w:pPr>
              <w:rPr>
                <w:i/>
              </w:rPr>
            </w:pPr>
            <w:r>
              <w:rPr>
                <w:i/>
              </w:rPr>
              <w:t xml:space="preserve">Ward 20 </w:t>
            </w:r>
            <w:proofErr w:type="spellStart"/>
            <w:r>
              <w:rPr>
                <w:i/>
              </w:rPr>
              <w:t>EcoFair</w:t>
            </w:r>
            <w:proofErr w:type="spellEnd"/>
            <w:r>
              <w:rPr>
                <w:i/>
              </w:rPr>
              <w:t xml:space="preserve"> </w:t>
            </w:r>
          </w:p>
          <w:p w:rsidR="00B15BC5" w:rsidRPr="00DD0960" w:rsidRDefault="00DD0960" w:rsidP="00B15BC5">
            <w:pPr>
              <w:pStyle w:val="ListParagraph"/>
              <w:numPr>
                <w:ilvl w:val="0"/>
                <w:numId w:val="13"/>
              </w:numPr>
            </w:pPr>
            <w:r>
              <w:t xml:space="preserve">Trustee Manna Wong will be hosting the Ward 20 </w:t>
            </w:r>
            <w:proofErr w:type="spellStart"/>
            <w:r>
              <w:t>EcoFair</w:t>
            </w:r>
            <w:proofErr w:type="spellEnd"/>
            <w:r>
              <w:t xml:space="preserve"> on April 21 at </w:t>
            </w:r>
            <w:proofErr w:type="spellStart"/>
            <w:r>
              <w:t>L'amoreux</w:t>
            </w:r>
            <w:proofErr w:type="spellEnd"/>
            <w:r>
              <w:t xml:space="preserve"> CI</w:t>
            </w:r>
          </w:p>
        </w:tc>
        <w:tc>
          <w:tcPr>
            <w:tcW w:w="2520" w:type="dxa"/>
          </w:tcPr>
          <w:p w:rsidR="00820765" w:rsidRPr="005F2AA9" w:rsidRDefault="00820765" w:rsidP="00D3655F"/>
        </w:tc>
      </w:tr>
      <w:tr w:rsidR="000A293E" w:rsidRPr="005F2AA9" w:rsidTr="00242FC2">
        <w:tc>
          <w:tcPr>
            <w:tcW w:w="2358" w:type="dxa"/>
          </w:tcPr>
          <w:p w:rsidR="000A293E" w:rsidRPr="005F2AA9" w:rsidRDefault="000A293E" w:rsidP="00097A18">
            <w:r w:rsidRPr="005F2AA9">
              <w:lastRenderedPageBreak/>
              <w:t>Adjournment</w:t>
            </w:r>
          </w:p>
        </w:tc>
        <w:tc>
          <w:tcPr>
            <w:tcW w:w="9450" w:type="dxa"/>
          </w:tcPr>
          <w:p w:rsidR="00CD5B30" w:rsidRDefault="000A293E" w:rsidP="00CD5B30">
            <w:r w:rsidRPr="005F2AA9">
              <w:t xml:space="preserve">The meeting was adjourned </w:t>
            </w:r>
            <w:r w:rsidR="00820765">
              <w:t>at 8:12</w:t>
            </w:r>
            <w:r w:rsidRPr="005F2AA9">
              <w:t xml:space="preserve"> p.m.</w:t>
            </w:r>
          </w:p>
          <w:p w:rsidR="004125A1" w:rsidRDefault="004125A1" w:rsidP="00CD5B30"/>
          <w:p w:rsidR="000A293E" w:rsidRPr="005F2AA9" w:rsidRDefault="00CD5B30" w:rsidP="00820765">
            <w:r>
              <w:t xml:space="preserve">Next meeting scheduled for </w:t>
            </w:r>
            <w:r w:rsidR="00820765">
              <w:t>March</w:t>
            </w:r>
            <w:r w:rsidR="00844111">
              <w:t xml:space="preserve"> </w:t>
            </w:r>
            <w:r w:rsidR="00820765">
              <w:t>6</w:t>
            </w:r>
            <w:r w:rsidRPr="00CD5B30">
              <w:rPr>
                <w:vertAlign w:val="superscript"/>
              </w:rPr>
              <w:t>th</w:t>
            </w:r>
            <w:r>
              <w:t xml:space="preserve">, </w:t>
            </w:r>
            <w:r w:rsidR="00844111">
              <w:t>Central Technical School, Rm 208</w:t>
            </w:r>
          </w:p>
        </w:tc>
        <w:tc>
          <w:tcPr>
            <w:tcW w:w="2520" w:type="dxa"/>
          </w:tcPr>
          <w:p w:rsidR="000A293E" w:rsidRPr="005F2AA9" w:rsidRDefault="000A293E" w:rsidP="00097A18"/>
        </w:tc>
      </w:tr>
    </w:tbl>
    <w:p w:rsidR="00644572" w:rsidRPr="00815B0E" w:rsidRDefault="00644572" w:rsidP="00092C08">
      <w:pPr>
        <w:rPr>
          <w:rFonts w:ascii="Myriad Pro" w:hAnsi="Myriad Pro"/>
          <w:vanish/>
        </w:rPr>
      </w:pPr>
    </w:p>
    <w:sectPr w:rsidR="00644572" w:rsidRPr="00815B0E" w:rsidSect="008478D7">
      <w:headerReference w:type="default" r:id="rId10"/>
      <w:footerReference w:type="default" r:id="rId11"/>
      <w:pgSz w:w="15840" w:h="12240" w:orient="landscape"/>
      <w:pgMar w:top="2423" w:right="1260" w:bottom="1440" w:left="27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01" w:rsidRDefault="006E5301" w:rsidP="006044B2">
      <w:pPr>
        <w:spacing w:after="0" w:line="240" w:lineRule="auto"/>
      </w:pPr>
      <w:r>
        <w:separator/>
      </w:r>
    </w:p>
  </w:endnote>
  <w:endnote w:type="continuationSeparator" w:id="0">
    <w:p w:rsidR="006E5301" w:rsidRDefault="006E5301" w:rsidP="0060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92" w:rsidRDefault="004E0292" w:rsidP="006044B2">
    <w:pPr>
      <w:pStyle w:val="Footer"/>
      <w:ind w:left="-1440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21C85">
      <w:rPr>
        <w:noProof/>
      </w:rPr>
      <w:t>3</w:t>
    </w:r>
    <w:r>
      <w:rPr>
        <w:noProof/>
      </w:rPr>
      <w:fldChar w:fldCharType="end"/>
    </w:r>
    <w:r>
      <w:tab/>
    </w:r>
  </w:p>
  <w:p w:rsidR="004E0292" w:rsidRDefault="004E0292" w:rsidP="00097A18">
    <w:pPr>
      <w:pStyle w:val="Footer"/>
      <w:ind w:left="-1440" w:hanging="1350"/>
    </w:pPr>
    <w:r>
      <w:rPr>
        <w:noProof/>
        <w:lang w:eastAsia="en-CA"/>
      </w:rPr>
      <w:drawing>
        <wp:inline distT="0" distB="0" distL="0" distR="0" wp14:anchorId="78E8C20E" wp14:editId="14699637">
          <wp:extent cx="10058400" cy="1024128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01" w:rsidRDefault="006E5301" w:rsidP="006044B2">
      <w:pPr>
        <w:spacing w:after="0" w:line="240" w:lineRule="auto"/>
      </w:pPr>
      <w:r>
        <w:separator/>
      </w:r>
    </w:p>
  </w:footnote>
  <w:footnote w:type="continuationSeparator" w:id="0">
    <w:p w:rsidR="006E5301" w:rsidRDefault="006E5301" w:rsidP="0060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92" w:rsidRDefault="004E0292" w:rsidP="00097A18">
    <w:pPr>
      <w:pStyle w:val="Header"/>
      <w:ind w:left="-1440" w:hanging="1350"/>
    </w:pPr>
    <w:r>
      <w:rPr>
        <w:noProof/>
        <w:lang w:eastAsia="en-CA"/>
      </w:rPr>
      <w:drawing>
        <wp:inline distT="0" distB="0" distL="0" distR="0" wp14:anchorId="696BFBEA" wp14:editId="6EAC1D11">
          <wp:extent cx="10030968" cy="154533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968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2AA"/>
    <w:multiLevelType w:val="hybridMultilevel"/>
    <w:tmpl w:val="CCFA26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6C71"/>
    <w:multiLevelType w:val="hybridMultilevel"/>
    <w:tmpl w:val="07CA1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F7E25"/>
    <w:multiLevelType w:val="hybridMultilevel"/>
    <w:tmpl w:val="64C2C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23CB7"/>
    <w:multiLevelType w:val="hybridMultilevel"/>
    <w:tmpl w:val="1D7C5FFE"/>
    <w:lvl w:ilvl="0" w:tplc="3998C7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95A19"/>
    <w:multiLevelType w:val="hybridMultilevel"/>
    <w:tmpl w:val="64B6F13A"/>
    <w:lvl w:ilvl="0" w:tplc="1009000F">
      <w:start w:val="1"/>
      <w:numFmt w:val="decimal"/>
      <w:lvlText w:val="%1."/>
      <w:lvlJc w:val="left"/>
      <w:pPr>
        <w:ind w:left="702" w:hanging="360"/>
      </w:pPr>
    </w:lvl>
    <w:lvl w:ilvl="1" w:tplc="10090019" w:tentative="1">
      <w:start w:val="1"/>
      <w:numFmt w:val="lowerLetter"/>
      <w:lvlText w:val="%2."/>
      <w:lvlJc w:val="left"/>
      <w:pPr>
        <w:ind w:left="1422" w:hanging="360"/>
      </w:pPr>
    </w:lvl>
    <w:lvl w:ilvl="2" w:tplc="1009001B" w:tentative="1">
      <w:start w:val="1"/>
      <w:numFmt w:val="lowerRoman"/>
      <w:lvlText w:val="%3."/>
      <w:lvlJc w:val="right"/>
      <w:pPr>
        <w:ind w:left="2142" w:hanging="180"/>
      </w:pPr>
    </w:lvl>
    <w:lvl w:ilvl="3" w:tplc="1009000F" w:tentative="1">
      <w:start w:val="1"/>
      <w:numFmt w:val="decimal"/>
      <w:lvlText w:val="%4."/>
      <w:lvlJc w:val="left"/>
      <w:pPr>
        <w:ind w:left="2862" w:hanging="360"/>
      </w:pPr>
    </w:lvl>
    <w:lvl w:ilvl="4" w:tplc="10090019" w:tentative="1">
      <w:start w:val="1"/>
      <w:numFmt w:val="lowerLetter"/>
      <w:lvlText w:val="%5."/>
      <w:lvlJc w:val="left"/>
      <w:pPr>
        <w:ind w:left="3582" w:hanging="360"/>
      </w:pPr>
    </w:lvl>
    <w:lvl w:ilvl="5" w:tplc="1009001B" w:tentative="1">
      <w:start w:val="1"/>
      <w:numFmt w:val="lowerRoman"/>
      <w:lvlText w:val="%6."/>
      <w:lvlJc w:val="right"/>
      <w:pPr>
        <w:ind w:left="4302" w:hanging="180"/>
      </w:pPr>
    </w:lvl>
    <w:lvl w:ilvl="6" w:tplc="1009000F" w:tentative="1">
      <w:start w:val="1"/>
      <w:numFmt w:val="decimal"/>
      <w:lvlText w:val="%7."/>
      <w:lvlJc w:val="left"/>
      <w:pPr>
        <w:ind w:left="5022" w:hanging="360"/>
      </w:pPr>
    </w:lvl>
    <w:lvl w:ilvl="7" w:tplc="10090019" w:tentative="1">
      <w:start w:val="1"/>
      <w:numFmt w:val="lowerLetter"/>
      <w:lvlText w:val="%8."/>
      <w:lvlJc w:val="left"/>
      <w:pPr>
        <w:ind w:left="5742" w:hanging="360"/>
      </w:pPr>
    </w:lvl>
    <w:lvl w:ilvl="8" w:tplc="10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1ECF1AB4"/>
    <w:multiLevelType w:val="hybridMultilevel"/>
    <w:tmpl w:val="64AA5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D2C91"/>
    <w:multiLevelType w:val="hybridMultilevel"/>
    <w:tmpl w:val="DF4050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834AC"/>
    <w:multiLevelType w:val="hybridMultilevel"/>
    <w:tmpl w:val="7BB09B10"/>
    <w:lvl w:ilvl="0" w:tplc="15A6F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D622D"/>
    <w:multiLevelType w:val="hybridMultilevel"/>
    <w:tmpl w:val="22EE4576"/>
    <w:lvl w:ilvl="0" w:tplc="9288E1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F7EFD"/>
    <w:multiLevelType w:val="hybridMultilevel"/>
    <w:tmpl w:val="FA86A0A0"/>
    <w:lvl w:ilvl="0" w:tplc="55B68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A7E63"/>
    <w:multiLevelType w:val="hybridMultilevel"/>
    <w:tmpl w:val="8B5CE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758CD"/>
    <w:multiLevelType w:val="hybridMultilevel"/>
    <w:tmpl w:val="CCEC38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73AA2"/>
    <w:multiLevelType w:val="hybridMultilevel"/>
    <w:tmpl w:val="38FA4D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F1647"/>
    <w:multiLevelType w:val="hybridMultilevel"/>
    <w:tmpl w:val="ABF6A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24829"/>
    <w:multiLevelType w:val="hybridMultilevel"/>
    <w:tmpl w:val="3208ED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5"/>
  </w:num>
  <w:num w:numId="5">
    <w:abstractNumId w:val="0"/>
  </w:num>
  <w:num w:numId="6">
    <w:abstractNumId w:val="14"/>
  </w:num>
  <w:num w:numId="7">
    <w:abstractNumId w:val="4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13"/>
  </w:num>
  <w:num w:numId="13">
    <w:abstractNumId w:val="8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E"/>
    <w:rsid w:val="0001366A"/>
    <w:rsid w:val="000146DA"/>
    <w:rsid w:val="00033921"/>
    <w:rsid w:val="0004069D"/>
    <w:rsid w:val="00080AE0"/>
    <w:rsid w:val="00081E9E"/>
    <w:rsid w:val="00092C08"/>
    <w:rsid w:val="00097A18"/>
    <w:rsid w:val="000A293E"/>
    <w:rsid w:val="000B48A4"/>
    <w:rsid w:val="00121C0F"/>
    <w:rsid w:val="00126079"/>
    <w:rsid w:val="00130CE3"/>
    <w:rsid w:val="00161D69"/>
    <w:rsid w:val="001B3E99"/>
    <w:rsid w:val="001B680A"/>
    <w:rsid w:val="001D7530"/>
    <w:rsid w:val="002165F3"/>
    <w:rsid w:val="00217487"/>
    <w:rsid w:val="002253FB"/>
    <w:rsid w:val="00240A4E"/>
    <w:rsid w:val="00242FC2"/>
    <w:rsid w:val="00256EE2"/>
    <w:rsid w:val="002638F9"/>
    <w:rsid w:val="0026470F"/>
    <w:rsid w:val="002723E1"/>
    <w:rsid w:val="002949AE"/>
    <w:rsid w:val="002A5D40"/>
    <w:rsid w:val="002B1209"/>
    <w:rsid w:val="002C604F"/>
    <w:rsid w:val="002D7305"/>
    <w:rsid w:val="002E4FF0"/>
    <w:rsid w:val="002F68B3"/>
    <w:rsid w:val="00306A1D"/>
    <w:rsid w:val="00317A5B"/>
    <w:rsid w:val="003551C8"/>
    <w:rsid w:val="0035537E"/>
    <w:rsid w:val="0037441B"/>
    <w:rsid w:val="00380316"/>
    <w:rsid w:val="003971C5"/>
    <w:rsid w:val="00397EA8"/>
    <w:rsid w:val="003C1EDB"/>
    <w:rsid w:val="003F575F"/>
    <w:rsid w:val="004125A1"/>
    <w:rsid w:val="004154B0"/>
    <w:rsid w:val="00457DDE"/>
    <w:rsid w:val="00476986"/>
    <w:rsid w:val="00483E7C"/>
    <w:rsid w:val="004B4BE9"/>
    <w:rsid w:val="004B7FCF"/>
    <w:rsid w:val="004C4ED8"/>
    <w:rsid w:val="004E0292"/>
    <w:rsid w:val="004E4ECF"/>
    <w:rsid w:val="0050188D"/>
    <w:rsid w:val="00502F05"/>
    <w:rsid w:val="005048A8"/>
    <w:rsid w:val="00514FB0"/>
    <w:rsid w:val="005170EC"/>
    <w:rsid w:val="005767C5"/>
    <w:rsid w:val="005831B1"/>
    <w:rsid w:val="005A08AD"/>
    <w:rsid w:val="005B3251"/>
    <w:rsid w:val="005B610F"/>
    <w:rsid w:val="005C5131"/>
    <w:rsid w:val="005D0363"/>
    <w:rsid w:val="005D2F6E"/>
    <w:rsid w:val="005E29A3"/>
    <w:rsid w:val="005E6C21"/>
    <w:rsid w:val="005F2AA9"/>
    <w:rsid w:val="005F477C"/>
    <w:rsid w:val="006004C0"/>
    <w:rsid w:val="006044B2"/>
    <w:rsid w:val="006073DA"/>
    <w:rsid w:val="00614594"/>
    <w:rsid w:val="00634131"/>
    <w:rsid w:val="00644572"/>
    <w:rsid w:val="00681FC7"/>
    <w:rsid w:val="006B0F46"/>
    <w:rsid w:val="006C4C8E"/>
    <w:rsid w:val="006D29CA"/>
    <w:rsid w:val="006D62F9"/>
    <w:rsid w:val="006E5301"/>
    <w:rsid w:val="00722708"/>
    <w:rsid w:val="007658F9"/>
    <w:rsid w:val="0079437D"/>
    <w:rsid w:val="00794C21"/>
    <w:rsid w:val="007A3FB3"/>
    <w:rsid w:val="007A6647"/>
    <w:rsid w:val="007E7B36"/>
    <w:rsid w:val="00807367"/>
    <w:rsid w:val="0081213D"/>
    <w:rsid w:val="00815B0E"/>
    <w:rsid w:val="00820765"/>
    <w:rsid w:val="008412B6"/>
    <w:rsid w:val="00844111"/>
    <w:rsid w:val="008478D7"/>
    <w:rsid w:val="00854C46"/>
    <w:rsid w:val="00863F9A"/>
    <w:rsid w:val="00876F81"/>
    <w:rsid w:val="008A7608"/>
    <w:rsid w:val="008D6176"/>
    <w:rsid w:val="008F1DE1"/>
    <w:rsid w:val="00906AFD"/>
    <w:rsid w:val="00940CD0"/>
    <w:rsid w:val="0094701F"/>
    <w:rsid w:val="00950852"/>
    <w:rsid w:val="009757C3"/>
    <w:rsid w:val="009A07F7"/>
    <w:rsid w:val="009C0023"/>
    <w:rsid w:val="009D22B8"/>
    <w:rsid w:val="009F2B4E"/>
    <w:rsid w:val="009F5A87"/>
    <w:rsid w:val="00A347A7"/>
    <w:rsid w:val="00A60CF5"/>
    <w:rsid w:val="00AE441F"/>
    <w:rsid w:val="00AE7239"/>
    <w:rsid w:val="00B060EF"/>
    <w:rsid w:val="00B15BC5"/>
    <w:rsid w:val="00B21C85"/>
    <w:rsid w:val="00B23DC9"/>
    <w:rsid w:val="00B335AF"/>
    <w:rsid w:val="00B40285"/>
    <w:rsid w:val="00B40491"/>
    <w:rsid w:val="00B55EB1"/>
    <w:rsid w:val="00B56201"/>
    <w:rsid w:val="00B763DD"/>
    <w:rsid w:val="00B960E3"/>
    <w:rsid w:val="00BC45A2"/>
    <w:rsid w:val="00C02C4A"/>
    <w:rsid w:val="00C1536A"/>
    <w:rsid w:val="00C31BD7"/>
    <w:rsid w:val="00C54006"/>
    <w:rsid w:val="00C711D6"/>
    <w:rsid w:val="00CB396E"/>
    <w:rsid w:val="00CD5B30"/>
    <w:rsid w:val="00CE6CE3"/>
    <w:rsid w:val="00D168B4"/>
    <w:rsid w:val="00D2038E"/>
    <w:rsid w:val="00D27707"/>
    <w:rsid w:val="00D3655F"/>
    <w:rsid w:val="00D41E1C"/>
    <w:rsid w:val="00D5059F"/>
    <w:rsid w:val="00D52A94"/>
    <w:rsid w:val="00D64A53"/>
    <w:rsid w:val="00D70B76"/>
    <w:rsid w:val="00D7172B"/>
    <w:rsid w:val="00D810D3"/>
    <w:rsid w:val="00D817AA"/>
    <w:rsid w:val="00DA6F1C"/>
    <w:rsid w:val="00DC3ACB"/>
    <w:rsid w:val="00DD0254"/>
    <w:rsid w:val="00DD0960"/>
    <w:rsid w:val="00DD1D09"/>
    <w:rsid w:val="00DD4198"/>
    <w:rsid w:val="00DD45EF"/>
    <w:rsid w:val="00DD56F9"/>
    <w:rsid w:val="00DD749D"/>
    <w:rsid w:val="00DF5475"/>
    <w:rsid w:val="00DF5E86"/>
    <w:rsid w:val="00DF6173"/>
    <w:rsid w:val="00DF6664"/>
    <w:rsid w:val="00E16491"/>
    <w:rsid w:val="00E4533C"/>
    <w:rsid w:val="00E47E9F"/>
    <w:rsid w:val="00E512F7"/>
    <w:rsid w:val="00E513D2"/>
    <w:rsid w:val="00E71055"/>
    <w:rsid w:val="00E94299"/>
    <w:rsid w:val="00E95CE8"/>
    <w:rsid w:val="00EA2DD9"/>
    <w:rsid w:val="00ED0190"/>
    <w:rsid w:val="00ED11E4"/>
    <w:rsid w:val="00EF39CE"/>
    <w:rsid w:val="00EF64E6"/>
    <w:rsid w:val="00EF6E43"/>
    <w:rsid w:val="00F104FF"/>
    <w:rsid w:val="00F12EC0"/>
    <w:rsid w:val="00F355D2"/>
    <w:rsid w:val="00F37881"/>
    <w:rsid w:val="00F4544F"/>
    <w:rsid w:val="00F56FD5"/>
    <w:rsid w:val="00FC44FD"/>
    <w:rsid w:val="00FC546F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F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863F9A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13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F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863F9A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1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isten.evers@tdsb.on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9ABB-9468-4B92-9D4C-2CC8854B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172553</dc:creator>
  <cp:lastModifiedBy>Evers, Kristen</cp:lastModifiedBy>
  <cp:revision>2</cp:revision>
  <dcterms:created xsi:type="dcterms:W3CDTF">2018-03-01T12:09:00Z</dcterms:created>
  <dcterms:modified xsi:type="dcterms:W3CDTF">2018-03-01T12:09:00Z</dcterms:modified>
</cp:coreProperties>
</file>