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731" w:rsidRDefault="00DD3D0F">
      <w:pPr>
        <w:pStyle w:val="Body"/>
        <w:ind w:left="720" w:firstLine="720"/>
        <w:rPr>
          <w:b/>
          <w:bCs/>
          <w:sz w:val="32"/>
          <w:szCs w:val="32"/>
        </w:rPr>
      </w:pPr>
      <w:r>
        <w:rPr>
          <w:noProof/>
          <w:lang w:val="en-CA" w:eastAsia="en-CA"/>
        </w:rPr>
        <w:drawing>
          <wp:anchor distT="114300" distB="114300" distL="114300" distR="114300" simplePos="0" relativeHeight="251659264" behindDoc="0" locked="0" layoutInCell="1" allowOverlap="1">
            <wp:simplePos x="0" y="0"/>
            <wp:positionH relativeFrom="page">
              <wp:posOffset>5762625</wp:posOffset>
            </wp:positionH>
            <wp:positionV relativeFrom="line">
              <wp:posOffset>0</wp:posOffset>
            </wp:positionV>
            <wp:extent cx="981075" cy="876300"/>
            <wp:effectExtent l="0" t="0" r="0" b="0"/>
            <wp:wrapSquare wrapText="bothSides" distT="114300" distB="114300" distL="114300" distR="1143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2.png"/>
                    <pic:cNvPicPr>
                      <a:picLocks noChangeAspect="1"/>
                    </pic:cNvPicPr>
                  </pic:nvPicPr>
                  <pic:blipFill>
                    <a:blip r:embed="rId8">
                      <a:extLst/>
                    </a:blip>
                    <a:stretch>
                      <a:fillRect/>
                    </a:stretch>
                  </pic:blipFill>
                  <pic:spPr>
                    <a:xfrm>
                      <a:off x="0" y="0"/>
                      <a:ext cx="981075" cy="876300"/>
                    </a:xfrm>
                    <a:prstGeom prst="rect">
                      <a:avLst/>
                    </a:prstGeom>
                    <a:ln w="12700" cap="flat">
                      <a:noFill/>
                      <a:miter lim="400000"/>
                    </a:ln>
                    <a:effectLst/>
                  </pic:spPr>
                </pic:pic>
              </a:graphicData>
            </a:graphic>
          </wp:anchor>
        </w:drawing>
      </w:r>
      <w:r>
        <w:rPr>
          <w:noProof/>
          <w:lang w:val="en-CA" w:eastAsia="en-CA"/>
        </w:rPr>
        <w:drawing>
          <wp:anchor distT="57150" distB="57150" distL="57150" distR="57150" simplePos="0" relativeHeight="251660288" behindDoc="0" locked="0" layoutInCell="1" allowOverlap="1">
            <wp:simplePos x="0" y="0"/>
            <wp:positionH relativeFrom="page">
              <wp:posOffset>438151</wp:posOffset>
            </wp:positionH>
            <wp:positionV relativeFrom="line">
              <wp:posOffset>0</wp:posOffset>
            </wp:positionV>
            <wp:extent cx="1362075" cy="1200150"/>
            <wp:effectExtent l="0" t="0" r="0" b="0"/>
            <wp:wrapSquare wrapText="bothSides" distT="57150" distB="57150" distL="57150" distR="5715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4.jpeg"/>
                    <pic:cNvPicPr>
                      <a:picLocks noChangeAspect="1"/>
                    </pic:cNvPicPr>
                  </pic:nvPicPr>
                  <pic:blipFill>
                    <a:blip r:embed="rId9">
                      <a:extLst/>
                    </a:blip>
                    <a:stretch>
                      <a:fillRect/>
                    </a:stretch>
                  </pic:blipFill>
                  <pic:spPr>
                    <a:xfrm>
                      <a:off x="0" y="0"/>
                      <a:ext cx="1362075" cy="1200150"/>
                    </a:xfrm>
                    <a:prstGeom prst="rect">
                      <a:avLst/>
                    </a:prstGeom>
                    <a:ln w="12700" cap="flat">
                      <a:noFill/>
                      <a:miter lim="400000"/>
                    </a:ln>
                    <a:effectLst/>
                  </pic:spPr>
                </pic:pic>
              </a:graphicData>
            </a:graphic>
          </wp:anchor>
        </w:drawing>
      </w:r>
    </w:p>
    <w:p w:rsidR="005C0731" w:rsidRDefault="00DD3D0F">
      <w:pPr>
        <w:pStyle w:val="Body"/>
        <w:rPr>
          <w:b/>
          <w:bCs/>
          <w:sz w:val="32"/>
          <w:szCs w:val="32"/>
        </w:rPr>
      </w:pPr>
      <w:r>
        <w:rPr>
          <w:b/>
          <w:bCs/>
          <w:sz w:val="32"/>
          <w:szCs w:val="32"/>
        </w:rPr>
        <w:t>Learning Resource Teacher (K - 8)</w:t>
      </w:r>
    </w:p>
    <w:p w:rsidR="005C0731" w:rsidRDefault="00DD3D0F">
      <w:pPr>
        <w:pStyle w:val="Body"/>
        <w:ind w:left="720" w:firstLine="720"/>
        <w:jc w:val="center"/>
        <w:rPr>
          <w:b/>
          <w:bCs/>
          <w:sz w:val="32"/>
          <w:szCs w:val="32"/>
        </w:rPr>
      </w:pPr>
      <w:r>
        <w:rPr>
          <w:b/>
          <w:bCs/>
          <w:sz w:val="32"/>
          <w:szCs w:val="32"/>
        </w:rPr>
        <w:t xml:space="preserve">Canadian International School </w:t>
      </w:r>
    </w:p>
    <w:p w:rsidR="005C0731" w:rsidRDefault="00DD3D0F">
      <w:pPr>
        <w:pStyle w:val="Body"/>
        <w:jc w:val="center"/>
      </w:pPr>
      <w:r>
        <w:rPr>
          <w:lang w:val="de-DE"/>
        </w:rPr>
        <w:t xml:space="preserve">           CANADIAN INTERNATIONAL SCHOOL SYSTEM</w:t>
      </w:r>
    </w:p>
    <w:p w:rsidR="005C0731" w:rsidRDefault="00DD3D0F">
      <w:pPr>
        <w:pStyle w:val="Body"/>
        <w:ind w:firstLine="720"/>
        <w:jc w:val="center"/>
      </w:pPr>
      <w:r>
        <w:rPr>
          <w:lang w:val="de-DE"/>
        </w:rPr>
        <w:t xml:space="preserve">        HO CHI MINH CITY, VIETNAM</w:t>
      </w:r>
    </w:p>
    <w:p w:rsidR="005C0731" w:rsidRDefault="00DD3D0F">
      <w:pPr>
        <w:pStyle w:val="Body"/>
        <w:jc w:val="center"/>
      </w:pPr>
      <w:r>
        <w:t xml:space="preserve"> </w:t>
      </w:r>
    </w:p>
    <w:p w:rsidR="005C0731" w:rsidRDefault="00DD3D0F">
      <w:pPr>
        <w:pStyle w:val="Body"/>
        <w:ind w:left="720" w:firstLine="720"/>
        <w:jc w:val="center"/>
      </w:pPr>
      <w:r>
        <w:rPr>
          <w:b/>
          <w:bCs/>
          <w:color w:val="365F91"/>
          <w:u w:color="365F91"/>
        </w:rPr>
        <w:t xml:space="preserve">     Commencing July 31, 2018 for a 2-year contract period</w:t>
      </w:r>
    </w:p>
    <w:p w:rsidR="005C0731" w:rsidRDefault="00DD3D0F">
      <w:pPr>
        <w:pStyle w:val="Body"/>
      </w:pPr>
      <w:r>
        <w:t xml:space="preserve"> </w:t>
      </w:r>
    </w:p>
    <w:p w:rsidR="005C0731" w:rsidRDefault="00DD3D0F">
      <w:pPr>
        <w:pStyle w:val="Body"/>
        <w:ind w:right="200"/>
        <w:jc w:val="both"/>
        <w:rPr>
          <w:sz w:val="20"/>
          <w:szCs w:val="20"/>
        </w:rPr>
      </w:pPr>
      <w:r>
        <w:rPr>
          <w:sz w:val="20"/>
          <w:szCs w:val="20"/>
        </w:rPr>
        <w:t>The Canadian International School System – Vietnam (CISS) consists of</w:t>
      </w:r>
    </w:p>
    <w:p w:rsidR="005C0731" w:rsidRDefault="00DD3D0F">
      <w:pPr>
        <w:pStyle w:val="Body"/>
        <w:rPr>
          <w:sz w:val="20"/>
          <w:szCs w:val="20"/>
        </w:rPr>
      </w:pPr>
      <w:r>
        <w:rPr>
          <w:sz w:val="20"/>
          <w:szCs w:val="20"/>
          <w:lang w:val="de-DE"/>
        </w:rPr>
        <w:t>·</w:t>
      </w:r>
      <w:r>
        <w:rPr>
          <w:sz w:val="20"/>
          <w:szCs w:val="20"/>
          <w:lang w:val="de-DE"/>
        </w:rPr>
        <w:tab/>
      </w:r>
      <w:r>
        <w:rPr>
          <w:sz w:val="20"/>
          <w:szCs w:val="20"/>
        </w:rPr>
        <w:t>The Canadian International School (CIS) serving K - Grade 12 students where the Ontario curriculum is taught.</w:t>
      </w:r>
    </w:p>
    <w:p w:rsidR="005C0731" w:rsidRDefault="00DD3D0F">
      <w:pPr>
        <w:pStyle w:val="Body"/>
        <w:rPr>
          <w:sz w:val="20"/>
          <w:szCs w:val="20"/>
        </w:rPr>
      </w:pPr>
      <w:r>
        <w:rPr>
          <w:sz w:val="20"/>
          <w:szCs w:val="20"/>
        </w:rPr>
        <w:t>·         The Bilingual Canadian International School (BCIS) serving Grade 1 -12 where both Vietnamese and Ontario curriculum are taught.</w:t>
      </w:r>
    </w:p>
    <w:p w:rsidR="005C0731" w:rsidRDefault="00DD3D0F">
      <w:pPr>
        <w:pStyle w:val="Body"/>
        <w:rPr>
          <w:sz w:val="20"/>
          <w:szCs w:val="20"/>
        </w:rPr>
      </w:pPr>
      <w:r>
        <w:rPr>
          <w:sz w:val="20"/>
          <w:szCs w:val="20"/>
        </w:rPr>
        <w:t>·         The Canada-Vietnam Kindergarten (CVK) serving children ages 2 – 5 years.</w:t>
      </w:r>
    </w:p>
    <w:p w:rsidR="005C0731" w:rsidRDefault="00DD3D0F">
      <w:pPr>
        <w:pStyle w:val="Body"/>
      </w:pPr>
      <w:r>
        <w:rPr>
          <w:sz w:val="20"/>
          <w:szCs w:val="20"/>
        </w:rPr>
        <w:t xml:space="preserve"> </w:t>
      </w:r>
    </w:p>
    <w:p w:rsidR="005C0731" w:rsidRDefault="00DD3D0F">
      <w:pPr>
        <w:pStyle w:val="Body"/>
        <w:spacing w:line="261" w:lineRule="auto"/>
        <w:jc w:val="both"/>
      </w:pPr>
      <w:r>
        <w:rPr>
          <w:sz w:val="20"/>
          <w:szCs w:val="20"/>
        </w:rPr>
        <w:t xml:space="preserve">The Board of Directors of the </w:t>
      </w:r>
      <w:r>
        <w:rPr>
          <w:b/>
          <w:bCs/>
          <w:sz w:val="20"/>
          <w:szCs w:val="20"/>
        </w:rPr>
        <w:t xml:space="preserve">Canadian International School System Vietnam (CISS) </w:t>
      </w:r>
      <w:r>
        <w:rPr>
          <w:sz w:val="20"/>
          <w:szCs w:val="20"/>
        </w:rPr>
        <w:t xml:space="preserve">is seeking a dynamic, experienced and committed educator for the position of </w:t>
      </w:r>
      <w:r>
        <w:rPr>
          <w:b/>
          <w:bCs/>
          <w:sz w:val="20"/>
          <w:szCs w:val="20"/>
        </w:rPr>
        <w:t xml:space="preserve">Learning Resource </w:t>
      </w:r>
      <w:proofErr w:type="gramStart"/>
      <w:r>
        <w:rPr>
          <w:b/>
          <w:bCs/>
          <w:sz w:val="20"/>
          <w:szCs w:val="20"/>
        </w:rPr>
        <w:t>Teacher  (</w:t>
      </w:r>
      <w:proofErr w:type="gramEnd"/>
      <w:r>
        <w:rPr>
          <w:b/>
          <w:bCs/>
          <w:sz w:val="20"/>
          <w:szCs w:val="20"/>
        </w:rPr>
        <w:t xml:space="preserve">K-8) </w:t>
      </w:r>
      <w:r>
        <w:rPr>
          <w:sz w:val="20"/>
          <w:szCs w:val="20"/>
        </w:rPr>
        <w:t>for their Canadian International School (CIS) located in Ho Chi Minh City, Vietnam.</w:t>
      </w:r>
    </w:p>
    <w:p w:rsidR="005C0731" w:rsidRDefault="00DD3D0F">
      <w:pPr>
        <w:pStyle w:val="Body"/>
        <w:spacing w:line="265" w:lineRule="auto"/>
        <w:ind w:right="200"/>
        <w:jc w:val="both"/>
        <w:rPr>
          <w:sz w:val="20"/>
          <w:szCs w:val="20"/>
        </w:rPr>
      </w:pPr>
      <w:r>
        <w:rPr>
          <w:sz w:val="20"/>
          <w:szCs w:val="20"/>
        </w:rPr>
        <w:t xml:space="preserve">The Canadian International School-Vietnam (CIS) is an international private school, with a student population of 900 students in Kindergarten to Grade 12. CIS accepts Vietnamese nationals and students of other nationalities. The school’s language of instruction is English.  CIS is committed to providing outstanding learning opportunities for students to demonstrate academic excellence, life skills and character development, graduating to reputable post-secondary institutions. Students of the CIS gain an Ontario Secondary School Diploma through the consultation with the Toronto District School Board. In March 2015 CIS was recognized as an IB World School. </w:t>
      </w:r>
    </w:p>
    <w:p w:rsidR="005C0731" w:rsidRDefault="005C0731">
      <w:pPr>
        <w:pStyle w:val="Body"/>
        <w:spacing w:line="265" w:lineRule="auto"/>
        <w:ind w:right="200"/>
        <w:jc w:val="both"/>
        <w:rPr>
          <w:sz w:val="20"/>
          <w:szCs w:val="20"/>
        </w:rPr>
      </w:pPr>
    </w:p>
    <w:p w:rsidR="005C0731" w:rsidRDefault="00DD3D0F">
      <w:pPr>
        <w:pStyle w:val="Body"/>
        <w:rPr>
          <w:sz w:val="20"/>
          <w:szCs w:val="20"/>
        </w:rPr>
      </w:pPr>
      <w:r>
        <w:rPr>
          <w:sz w:val="20"/>
          <w:szCs w:val="20"/>
        </w:rPr>
        <w:t xml:space="preserve">Our students have a wide range of abilities and learning styles.  The LRT assists students who need extra support in meeting the challenges of the curriculum.  As a member of the student success team our role is to support student strengths, ensuring the academic success of all students. </w:t>
      </w:r>
    </w:p>
    <w:p w:rsidR="005C0731" w:rsidRDefault="005C0731">
      <w:pPr>
        <w:pStyle w:val="Body"/>
        <w:rPr>
          <w:sz w:val="20"/>
          <w:szCs w:val="20"/>
        </w:rPr>
      </w:pPr>
    </w:p>
    <w:p w:rsidR="005C0731" w:rsidRDefault="00DD3D0F">
      <w:pPr>
        <w:pStyle w:val="Body"/>
        <w:rPr>
          <w:color w:val="222222"/>
          <w:sz w:val="20"/>
          <w:szCs w:val="20"/>
          <w:u w:val="single" w:color="222222"/>
        </w:rPr>
      </w:pPr>
      <w:r>
        <w:rPr>
          <w:color w:val="222222"/>
          <w:sz w:val="20"/>
          <w:szCs w:val="20"/>
          <w:u w:val="single" w:color="222222"/>
        </w:rPr>
        <w:t>Responsibilities of the Learning Resource Teachers (LRT)</w:t>
      </w:r>
    </w:p>
    <w:p w:rsidR="005C0731" w:rsidRDefault="005C0731">
      <w:pPr>
        <w:pStyle w:val="Body"/>
        <w:rPr>
          <w:color w:val="222222"/>
          <w:sz w:val="20"/>
          <w:szCs w:val="20"/>
          <w:u w:color="222222"/>
        </w:rPr>
      </w:pPr>
    </w:p>
    <w:p w:rsidR="005C0731" w:rsidRDefault="00DD3D0F">
      <w:pPr>
        <w:pStyle w:val="Body"/>
        <w:numPr>
          <w:ilvl w:val="0"/>
          <w:numId w:val="2"/>
        </w:numPr>
        <w:rPr>
          <w:color w:val="222222"/>
          <w:sz w:val="20"/>
          <w:szCs w:val="20"/>
          <w:u w:color="222222"/>
        </w:rPr>
      </w:pPr>
      <w:r>
        <w:rPr>
          <w:color w:val="222222"/>
          <w:sz w:val="20"/>
          <w:szCs w:val="20"/>
          <w:u w:color="222222"/>
        </w:rPr>
        <w:t>Assist the classroom teacher in providing appropriate accommodations to meet the needs of student.</w:t>
      </w:r>
    </w:p>
    <w:p w:rsidR="005C0731" w:rsidRDefault="00DD3D0F">
      <w:pPr>
        <w:pStyle w:val="Body"/>
        <w:numPr>
          <w:ilvl w:val="0"/>
          <w:numId w:val="4"/>
        </w:numPr>
        <w:rPr>
          <w:color w:val="222222"/>
          <w:sz w:val="20"/>
          <w:szCs w:val="20"/>
          <w:u w:color="222222"/>
        </w:rPr>
      </w:pPr>
      <w:r>
        <w:rPr>
          <w:color w:val="222222"/>
          <w:sz w:val="20"/>
          <w:szCs w:val="20"/>
          <w:u w:color="222222"/>
        </w:rPr>
        <w:t>Support all teachers in providing a differentiated program for the learners in their classrooms.</w:t>
      </w:r>
    </w:p>
    <w:p w:rsidR="005C0731" w:rsidRDefault="00DD3D0F">
      <w:pPr>
        <w:pStyle w:val="Body"/>
        <w:numPr>
          <w:ilvl w:val="0"/>
          <w:numId w:val="2"/>
        </w:numPr>
        <w:rPr>
          <w:color w:val="222222"/>
          <w:sz w:val="20"/>
          <w:szCs w:val="20"/>
          <w:u w:color="222222"/>
        </w:rPr>
      </w:pPr>
      <w:r>
        <w:rPr>
          <w:color w:val="222222"/>
          <w:sz w:val="20"/>
          <w:szCs w:val="20"/>
          <w:u w:color="222222"/>
        </w:rPr>
        <w:t xml:space="preserve">Provide opportunities for discussion with all teachers, administrators and support teachers to monitor, discuss and implement interventions appropriate to each student, through collaborative team meetings and classroom observations the LRT </w:t>
      </w:r>
    </w:p>
    <w:p w:rsidR="005C0731" w:rsidRDefault="00DD3D0F">
      <w:pPr>
        <w:pStyle w:val="Body"/>
        <w:numPr>
          <w:ilvl w:val="0"/>
          <w:numId w:val="2"/>
        </w:numPr>
        <w:rPr>
          <w:color w:val="222222"/>
          <w:sz w:val="20"/>
          <w:szCs w:val="20"/>
          <w:u w:color="222222"/>
        </w:rPr>
      </w:pPr>
      <w:r>
        <w:rPr>
          <w:color w:val="222222"/>
          <w:sz w:val="20"/>
          <w:szCs w:val="20"/>
          <w:u w:color="222222"/>
        </w:rPr>
        <w:t xml:space="preserve">Conduct educational assessments and observations to identify </w:t>
      </w:r>
      <w:proofErr w:type="gramStart"/>
      <w:r>
        <w:rPr>
          <w:color w:val="222222"/>
          <w:sz w:val="20"/>
          <w:szCs w:val="20"/>
          <w:u w:color="222222"/>
        </w:rPr>
        <w:t>students</w:t>
      </w:r>
      <w:proofErr w:type="gramEnd"/>
      <w:r>
        <w:rPr>
          <w:color w:val="222222"/>
          <w:sz w:val="20"/>
          <w:szCs w:val="20"/>
          <w:u w:color="222222"/>
        </w:rPr>
        <w:t xml:space="preserve"> strengths and needs.</w:t>
      </w:r>
    </w:p>
    <w:p w:rsidR="005C0731" w:rsidRDefault="005C0731">
      <w:pPr>
        <w:pStyle w:val="Body"/>
        <w:rPr>
          <w:color w:val="222222"/>
          <w:sz w:val="20"/>
          <w:szCs w:val="20"/>
          <w:u w:color="222222"/>
        </w:rPr>
      </w:pPr>
    </w:p>
    <w:p w:rsidR="005C0731" w:rsidRDefault="00DD3D0F">
      <w:pPr>
        <w:pStyle w:val="Body"/>
        <w:numPr>
          <w:ilvl w:val="0"/>
          <w:numId w:val="2"/>
        </w:numPr>
        <w:rPr>
          <w:color w:val="222222"/>
          <w:sz w:val="20"/>
          <w:szCs w:val="20"/>
          <w:u w:color="222222"/>
        </w:rPr>
      </w:pPr>
      <w:r>
        <w:rPr>
          <w:color w:val="222222"/>
          <w:sz w:val="20"/>
          <w:szCs w:val="20"/>
          <w:u w:color="222222"/>
        </w:rPr>
        <w:t>Provide an individualized intervention program for students considered at risk.</w:t>
      </w:r>
    </w:p>
    <w:p w:rsidR="005C0731" w:rsidRDefault="00DD3D0F">
      <w:pPr>
        <w:pStyle w:val="Body"/>
        <w:numPr>
          <w:ilvl w:val="0"/>
          <w:numId w:val="6"/>
        </w:numPr>
        <w:rPr>
          <w:color w:val="222222"/>
          <w:sz w:val="20"/>
          <w:szCs w:val="20"/>
          <w:u w:color="222222"/>
        </w:rPr>
      </w:pPr>
      <w:r>
        <w:rPr>
          <w:color w:val="222222"/>
          <w:sz w:val="20"/>
          <w:szCs w:val="20"/>
          <w:u w:color="222222"/>
        </w:rPr>
        <w:t>Provide a timeout/safe space area for students with social/emotional concerns.</w:t>
      </w:r>
    </w:p>
    <w:p w:rsidR="005C0731" w:rsidRDefault="00DD3D0F">
      <w:pPr>
        <w:pStyle w:val="Body"/>
        <w:numPr>
          <w:ilvl w:val="0"/>
          <w:numId w:val="8"/>
        </w:numPr>
        <w:rPr>
          <w:color w:val="222222"/>
          <w:sz w:val="20"/>
          <w:szCs w:val="20"/>
          <w:u w:color="222222"/>
        </w:rPr>
      </w:pPr>
      <w:r>
        <w:rPr>
          <w:color w:val="222222"/>
          <w:sz w:val="20"/>
          <w:szCs w:val="20"/>
          <w:u w:color="222222"/>
        </w:rPr>
        <w:t>Provide space for assessment accommodations (extra time, quiet setting etc.)</w:t>
      </w:r>
    </w:p>
    <w:p w:rsidR="005C0731" w:rsidRDefault="00DD3D0F">
      <w:pPr>
        <w:pStyle w:val="Body"/>
        <w:numPr>
          <w:ilvl w:val="0"/>
          <w:numId w:val="10"/>
        </w:numPr>
        <w:rPr>
          <w:color w:val="222222"/>
          <w:sz w:val="20"/>
          <w:szCs w:val="20"/>
          <w:u w:color="222222"/>
        </w:rPr>
      </w:pPr>
      <w:r>
        <w:rPr>
          <w:color w:val="222222"/>
          <w:sz w:val="20"/>
          <w:szCs w:val="20"/>
          <w:u w:color="222222"/>
        </w:rPr>
        <w:t>Assist the regular classroom teacher with regards to assessment, evaluation and reporting achievement.</w:t>
      </w:r>
    </w:p>
    <w:p w:rsidR="005C0731" w:rsidRDefault="00DD3D0F">
      <w:pPr>
        <w:pStyle w:val="Body"/>
        <w:numPr>
          <w:ilvl w:val="0"/>
          <w:numId w:val="12"/>
        </w:numPr>
        <w:rPr>
          <w:color w:val="222222"/>
          <w:sz w:val="20"/>
          <w:szCs w:val="20"/>
          <w:u w:color="222222"/>
        </w:rPr>
      </w:pPr>
      <w:r>
        <w:rPr>
          <w:color w:val="222222"/>
          <w:sz w:val="20"/>
          <w:szCs w:val="20"/>
          <w:u w:color="222222"/>
        </w:rPr>
        <w:lastRenderedPageBreak/>
        <w:t>Act as a liaison with parents and community resources including coordinating referrals to outside resources if necessary.</w:t>
      </w:r>
    </w:p>
    <w:p w:rsidR="005C0731" w:rsidRDefault="00DD3D0F">
      <w:pPr>
        <w:pStyle w:val="Body"/>
        <w:numPr>
          <w:ilvl w:val="0"/>
          <w:numId w:val="14"/>
        </w:numPr>
        <w:rPr>
          <w:sz w:val="20"/>
          <w:szCs w:val="20"/>
        </w:rPr>
      </w:pPr>
      <w:r>
        <w:rPr>
          <w:sz w:val="20"/>
          <w:szCs w:val="20"/>
        </w:rPr>
        <w:t xml:space="preserve">Coordinate the Reading Rangers program for identified students who require reading support. </w:t>
      </w:r>
    </w:p>
    <w:p w:rsidR="005C0731" w:rsidRDefault="00DD3D0F">
      <w:pPr>
        <w:pStyle w:val="Body"/>
        <w:numPr>
          <w:ilvl w:val="0"/>
          <w:numId w:val="14"/>
        </w:numPr>
        <w:rPr>
          <w:sz w:val="20"/>
          <w:szCs w:val="20"/>
        </w:rPr>
      </w:pPr>
      <w:r>
        <w:rPr>
          <w:sz w:val="20"/>
          <w:szCs w:val="20"/>
        </w:rPr>
        <w:t>Promote the use of Information and Communication Technology (ICT) as a tool for teaching and learning.</w:t>
      </w:r>
    </w:p>
    <w:p w:rsidR="005C0731" w:rsidRDefault="005C0731">
      <w:pPr>
        <w:pStyle w:val="Body"/>
        <w:rPr>
          <w:sz w:val="24"/>
          <w:szCs w:val="24"/>
        </w:rPr>
      </w:pPr>
    </w:p>
    <w:p w:rsidR="005C0731" w:rsidRDefault="00DD3D0F">
      <w:pPr>
        <w:pStyle w:val="Body"/>
        <w:jc w:val="both"/>
      </w:pPr>
      <w:r>
        <w:rPr>
          <w:b/>
          <w:bCs/>
          <w:sz w:val="20"/>
          <w:szCs w:val="20"/>
          <w:u w:val="single"/>
          <w:lang w:val="it-IT"/>
        </w:rPr>
        <w:t>Professional Qualifications</w:t>
      </w:r>
      <w:r>
        <w:rPr>
          <w:rFonts w:ascii="Arial Unicode MS" w:hAnsi="Arial Unicode MS"/>
          <w:sz w:val="20"/>
          <w:szCs w:val="20"/>
          <w:u w:val="single"/>
        </w:rPr>
        <w:br/>
      </w:r>
    </w:p>
    <w:p w:rsidR="005C0731" w:rsidRDefault="00DD3D0F">
      <w:pPr>
        <w:pStyle w:val="Body"/>
        <w:numPr>
          <w:ilvl w:val="0"/>
          <w:numId w:val="16"/>
        </w:numPr>
        <w:rPr>
          <w:sz w:val="20"/>
          <w:szCs w:val="20"/>
        </w:rPr>
      </w:pPr>
      <w:r>
        <w:rPr>
          <w:sz w:val="20"/>
          <w:szCs w:val="20"/>
        </w:rPr>
        <w:t xml:space="preserve">Bachelor’s degree in Education, </w:t>
      </w:r>
      <w:proofErr w:type="spellStart"/>
      <w:r>
        <w:rPr>
          <w:sz w:val="20"/>
          <w:szCs w:val="20"/>
        </w:rPr>
        <w:t>BEd</w:t>
      </w:r>
      <w:proofErr w:type="spellEnd"/>
      <w:r>
        <w:rPr>
          <w:sz w:val="20"/>
          <w:szCs w:val="20"/>
        </w:rPr>
        <w:t xml:space="preserve"> </w:t>
      </w:r>
    </w:p>
    <w:p w:rsidR="005C0731" w:rsidRDefault="00DD3D0F">
      <w:pPr>
        <w:pStyle w:val="Body"/>
        <w:numPr>
          <w:ilvl w:val="0"/>
          <w:numId w:val="16"/>
        </w:numPr>
        <w:rPr>
          <w:sz w:val="20"/>
          <w:szCs w:val="20"/>
        </w:rPr>
      </w:pPr>
      <w:r>
        <w:rPr>
          <w:sz w:val="20"/>
          <w:szCs w:val="20"/>
        </w:rPr>
        <w:t xml:space="preserve">Member in good standing with Ontario College of Teachers (OTC) or eligible to become licensed by OTC </w:t>
      </w:r>
      <w:hyperlink r:id="rId10" w:history="1">
        <w:r>
          <w:rPr>
            <w:rStyle w:val="Hyperlink0"/>
          </w:rPr>
          <w:t>https://www.oct.ca/becoming-a-teacher/internationally-educated-teachers</w:t>
        </w:r>
      </w:hyperlink>
    </w:p>
    <w:p w:rsidR="005C0731" w:rsidRDefault="00DD3D0F">
      <w:pPr>
        <w:pStyle w:val="Body"/>
        <w:numPr>
          <w:ilvl w:val="0"/>
          <w:numId w:val="16"/>
        </w:numPr>
        <w:jc w:val="both"/>
        <w:rPr>
          <w:sz w:val="20"/>
          <w:szCs w:val="20"/>
        </w:rPr>
      </w:pPr>
      <w:r>
        <w:rPr>
          <w:sz w:val="20"/>
          <w:szCs w:val="20"/>
        </w:rPr>
        <w:t>Experience as Special Education Teacher in a school setting</w:t>
      </w:r>
    </w:p>
    <w:p w:rsidR="005C0731" w:rsidRDefault="00DD3D0F">
      <w:pPr>
        <w:pStyle w:val="Body"/>
        <w:numPr>
          <w:ilvl w:val="0"/>
          <w:numId w:val="16"/>
        </w:numPr>
        <w:jc w:val="both"/>
        <w:rPr>
          <w:sz w:val="20"/>
          <w:szCs w:val="20"/>
        </w:rPr>
      </w:pPr>
      <w:r>
        <w:rPr>
          <w:sz w:val="20"/>
          <w:szCs w:val="20"/>
        </w:rPr>
        <w:t>Part 2 or Specialist Qualifications in Special Education; those with Part 1 will be considered</w:t>
      </w:r>
    </w:p>
    <w:p w:rsidR="005C0731" w:rsidRDefault="00DD3D0F">
      <w:pPr>
        <w:pStyle w:val="Body"/>
        <w:numPr>
          <w:ilvl w:val="0"/>
          <w:numId w:val="16"/>
        </w:numPr>
        <w:jc w:val="both"/>
        <w:rPr>
          <w:sz w:val="20"/>
          <w:szCs w:val="20"/>
        </w:rPr>
      </w:pPr>
      <w:r>
        <w:rPr>
          <w:sz w:val="20"/>
          <w:szCs w:val="20"/>
        </w:rPr>
        <w:t>Qualifications in Literacy/Reading/Writing/ESL an asset</w:t>
      </w:r>
    </w:p>
    <w:p w:rsidR="005C0731" w:rsidRDefault="00DD3D0F">
      <w:pPr>
        <w:pStyle w:val="Body"/>
        <w:numPr>
          <w:ilvl w:val="0"/>
          <w:numId w:val="16"/>
        </w:numPr>
        <w:jc w:val="both"/>
        <w:rPr>
          <w:rStyle w:val="None"/>
          <w:sz w:val="20"/>
          <w:szCs w:val="20"/>
        </w:rPr>
      </w:pPr>
      <w:r>
        <w:rPr>
          <w:sz w:val="20"/>
          <w:szCs w:val="20"/>
        </w:rPr>
        <w:t>Experience integrating technology into classroom practice an asset</w:t>
      </w:r>
    </w:p>
    <w:p w:rsidR="005C0731" w:rsidRDefault="005C0731">
      <w:pPr>
        <w:pStyle w:val="Body"/>
        <w:jc w:val="both"/>
        <w:rPr>
          <w:sz w:val="20"/>
          <w:szCs w:val="20"/>
        </w:rPr>
      </w:pPr>
    </w:p>
    <w:p w:rsidR="005C0731" w:rsidRDefault="00DD3D0F">
      <w:pPr>
        <w:pStyle w:val="Body"/>
        <w:jc w:val="both"/>
        <w:rPr>
          <w:rStyle w:val="None"/>
          <w:sz w:val="20"/>
          <w:szCs w:val="20"/>
        </w:rPr>
      </w:pPr>
      <w:r>
        <w:rPr>
          <w:rStyle w:val="None"/>
          <w:sz w:val="20"/>
          <w:szCs w:val="20"/>
        </w:rPr>
        <w:t xml:space="preserve"> </w:t>
      </w:r>
    </w:p>
    <w:p w:rsidR="005C0731" w:rsidRDefault="00DD3D0F">
      <w:pPr>
        <w:pStyle w:val="Body"/>
        <w:jc w:val="both"/>
        <w:rPr>
          <w:rStyle w:val="None"/>
          <w:b/>
          <w:bCs/>
          <w:sz w:val="20"/>
          <w:szCs w:val="20"/>
          <w:u w:val="single"/>
        </w:rPr>
      </w:pPr>
      <w:r>
        <w:rPr>
          <w:rStyle w:val="None"/>
          <w:b/>
          <w:bCs/>
          <w:sz w:val="20"/>
          <w:szCs w:val="20"/>
          <w:u w:val="single"/>
        </w:rPr>
        <w:t>Professional Attributes and Experience</w:t>
      </w:r>
    </w:p>
    <w:p w:rsidR="005C0731" w:rsidRDefault="00DD3D0F">
      <w:pPr>
        <w:pStyle w:val="Body"/>
        <w:numPr>
          <w:ilvl w:val="0"/>
          <w:numId w:val="18"/>
        </w:numPr>
        <w:jc w:val="both"/>
        <w:rPr>
          <w:sz w:val="20"/>
          <w:szCs w:val="20"/>
        </w:rPr>
      </w:pPr>
      <w:r>
        <w:rPr>
          <w:sz w:val="20"/>
          <w:szCs w:val="20"/>
        </w:rPr>
        <w:t>ability to develop the capacities of staff by building on their strengths</w:t>
      </w:r>
    </w:p>
    <w:p w:rsidR="005C0731" w:rsidRDefault="00DD3D0F">
      <w:pPr>
        <w:pStyle w:val="Body"/>
        <w:numPr>
          <w:ilvl w:val="0"/>
          <w:numId w:val="18"/>
        </w:numPr>
        <w:jc w:val="both"/>
        <w:rPr>
          <w:sz w:val="20"/>
          <w:szCs w:val="20"/>
        </w:rPr>
      </w:pPr>
      <w:r>
        <w:rPr>
          <w:sz w:val="20"/>
          <w:szCs w:val="20"/>
        </w:rPr>
        <w:t>superior leadership ability</w:t>
      </w:r>
    </w:p>
    <w:p w:rsidR="005C0731" w:rsidRDefault="00DD3D0F">
      <w:pPr>
        <w:pStyle w:val="Body"/>
        <w:numPr>
          <w:ilvl w:val="0"/>
          <w:numId w:val="18"/>
        </w:numPr>
        <w:jc w:val="both"/>
        <w:rPr>
          <w:sz w:val="20"/>
          <w:szCs w:val="20"/>
        </w:rPr>
      </w:pPr>
      <w:r>
        <w:rPr>
          <w:sz w:val="20"/>
          <w:szCs w:val="20"/>
        </w:rPr>
        <w:t>excellent communication and organizational skills</w:t>
      </w:r>
    </w:p>
    <w:p w:rsidR="005C0731" w:rsidRDefault="00DD3D0F">
      <w:pPr>
        <w:pStyle w:val="Body"/>
        <w:numPr>
          <w:ilvl w:val="0"/>
          <w:numId w:val="18"/>
        </w:numPr>
        <w:jc w:val="both"/>
        <w:rPr>
          <w:sz w:val="20"/>
          <w:szCs w:val="20"/>
        </w:rPr>
      </w:pPr>
      <w:r>
        <w:rPr>
          <w:sz w:val="20"/>
          <w:szCs w:val="20"/>
        </w:rPr>
        <w:t>demonstrated commitment to student success</w:t>
      </w:r>
    </w:p>
    <w:p w:rsidR="005C0731" w:rsidRDefault="00DD3D0F">
      <w:pPr>
        <w:pStyle w:val="Body"/>
        <w:numPr>
          <w:ilvl w:val="0"/>
          <w:numId w:val="18"/>
        </w:numPr>
        <w:jc w:val="both"/>
        <w:rPr>
          <w:sz w:val="20"/>
          <w:szCs w:val="20"/>
        </w:rPr>
      </w:pPr>
      <w:r>
        <w:rPr>
          <w:sz w:val="20"/>
          <w:szCs w:val="20"/>
        </w:rPr>
        <w:t>experience in the international environment preferred</w:t>
      </w:r>
    </w:p>
    <w:p w:rsidR="005C0731" w:rsidRDefault="00DD3D0F">
      <w:pPr>
        <w:pStyle w:val="Body"/>
        <w:numPr>
          <w:ilvl w:val="0"/>
          <w:numId w:val="18"/>
        </w:numPr>
        <w:jc w:val="both"/>
        <w:rPr>
          <w:sz w:val="20"/>
          <w:szCs w:val="20"/>
        </w:rPr>
      </w:pPr>
      <w:proofErr w:type="gramStart"/>
      <w:r>
        <w:rPr>
          <w:sz w:val="20"/>
          <w:szCs w:val="20"/>
        </w:rPr>
        <w:t>experience</w:t>
      </w:r>
      <w:proofErr w:type="gramEnd"/>
      <w:r>
        <w:rPr>
          <w:sz w:val="20"/>
          <w:szCs w:val="20"/>
        </w:rPr>
        <w:t xml:space="preserve"> in a bilingual program with English as a second language - many students  communicate in Korean and Vietnamese.</w:t>
      </w:r>
    </w:p>
    <w:p w:rsidR="005C0731" w:rsidRDefault="00DD3D0F">
      <w:pPr>
        <w:pStyle w:val="Body"/>
        <w:jc w:val="both"/>
        <w:rPr>
          <w:rStyle w:val="None"/>
          <w:sz w:val="20"/>
          <w:szCs w:val="20"/>
        </w:rPr>
      </w:pPr>
      <w:r>
        <w:rPr>
          <w:rStyle w:val="None"/>
          <w:color w:val="FF0000"/>
          <w:sz w:val="20"/>
          <w:szCs w:val="20"/>
          <w:u w:color="FF0000"/>
        </w:rPr>
        <w:t xml:space="preserve"> </w:t>
      </w:r>
    </w:p>
    <w:p w:rsidR="005C0731" w:rsidRDefault="00DD3D0F">
      <w:pPr>
        <w:pStyle w:val="Body"/>
        <w:spacing w:line="261" w:lineRule="auto"/>
        <w:jc w:val="both"/>
        <w:rPr>
          <w:rStyle w:val="None"/>
          <w:sz w:val="20"/>
          <w:szCs w:val="20"/>
        </w:rPr>
      </w:pPr>
      <w:bookmarkStart w:id="0" w:name="_jzkv2vmv9nkn"/>
      <w:r>
        <w:rPr>
          <w:rStyle w:val="None"/>
          <w:sz w:val="20"/>
          <w:szCs w:val="20"/>
        </w:rPr>
        <w:t>The CISS invites qualified, capable and highly effective teachers to apply for the above position. This position is for the period stated above and can be extended by mutual agreement of both parties. Candidates must have a willingness to adapt to a different cultural context and to work as a team in a challenging educational environment.</w:t>
      </w:r>
      <w:bookmarkEnd w:id="0"/>
    </w:p>
    <w:p w:rsidR="005C0731" w:rsidRDefault="005C0731">
      <w:pPr>
        <w:pStyle w:val="Body"/>
        <w:spacing w:line="261" w:lineRule="auto"/>
        <w:jc w:val="both"/>
        <w:rPr>
          <w:rStyle w:val="None"/>
          <w:sz w:val="20"/>
          <w:szCs w:val="20"/>
        </w:rPr>
      </w:pPr>
    </w:p>
    <w:p w:rsidR="005C0731" w:rsidRDefault="00DD3D0F">
      <w:pPr>
        <w:pStyle w:val="Heading2"/>
        <w:keepNext w:val="0"/>
        <w:keepLines w:val="0"/>
        <w:widowControl w:val="0"/>
        <w:spacing w:before="0" w:after="0" w:line="240" w:lineRule="auto"/>
        <w:ind w:left="100"/>
        <w:rPr>
          <w:rStyle w:val="None"/>
          <w:rFonts w:ascii="Calibri" w:eastAsia="Calibri" w:hAnsi="Calibri" w:cs="Calibri"/>
          <w:sz w:val="22"/>
          <w:szCs w:val="22"/>
        </w:rPr>
      </w:pPr>
      <w:r>
        <w:rPr>
          <w:rStyle w:val="None"/>
          <w:rFonts w:ascii="Calibri" w:eastAsia="Calibri" w:hAnsi="Calibri" w:cs="Calibri"/>
          <w:b/>
          <w:bCs/>
          <w:sz w:val="22"/>
          <w:szCs w:val="22"/>
        </w:rPr>
        <w:t>Remuneration:</w:t>
      </w:r>
    </w:p>
    <w:p w:rsidR="005C0731" w:rsidRDefault="00DD3D0F">
      <w:pPr>
        <w:pStyle w:val="Body"/>
        <w:widowControl w:val="0"/>
        <w:spacing w:line="240" w:lineRule="auto"/>
        <w:ind w:left="100" w:right="115"/>
        <w:rPr>
          <w:rStyle w:val="None"/>
          <w:rFonts w:ascii="Calibri" w:eastAsia="Calibri" w:hAnsi="Calibri" w:cs="Calibri"/>
        </w:rPr>
      </w:pPr>
      <w:r>
        <w:rPr>
          <w:rStyle w:val="None"/>
          <w:rFonts w:ascii="Calibri" w:eastAsia="Calibri" w:hAnsi="Calibri" w:cs="Calibri"/>
        </w:rPr>
        <w:t>Remuneration is based on experience and qualifications and includes:</w:t>
      </w:r>
    </w:p>
    <w:p w:rsidR="005C0731" w:rsidRDefault="00DD3D0F">
      <w:pPr>
        <w:pStyle w:val="Body"/>
        <w:widowControl w:val="0"/>
        <w:numPr>
          <w:ilvl w:val="0"/>
          <w:numId w:val="20"/>
        </w:numPr>
        <w:spacing w:line="240" w:lineRule="auto"/>
        <w:ind w:right="214"/>
        <w:jc w:val="both"/>
        <w:rPr>
          <w:rFonts w:ascii="Calibri" w:eastAsia="Calibri" w:hAnsi="Calibri" w:cs="Calibri"/>
        </w:rPr>
      </w:pPr>
      <w:r>
        <w:rPr>
          <w:rFonts w:ascii="Calibri" w:eastAsia="Calibri" w:hAnsi="Calibri" w:cs="Calibri"/>
        </w:rPr>
        <w:t>Base salary;</w:t>
      </w:r>
    </w:p>
    <w:p w:rsidR="005C0731" w:rsidRDefault="00DD3D0F">
      <w:pPr>
        <w:pStyle w:val="Body"/>
        <w:widowControl w:val="0"/>
        <w:numPr>
          <w:ilvl w:val="0"/>
          <w:numId w:val="20"/>
        </w:numPr>
        <w:spacing w:line="240" w:lineRule="auto"/>
        <w:ind w:right="214"/>
        <w:jc w:val="both"/>
        <w:rPr>
          <w:rFonts w:ascii="Calibri" w:eastAsia="Calibri" w:hAnsi="Calibri" w:cs="Calibri"/>
        </w:rPr>
      </w:pPr>
      <w:r>
        <w:rPr>
          <w:rFonts w:ascii="Calibri" w:eastAsia="Calibri" w:hAnsi="Calibri" w:cs="Calibri"/>
        </w:rPr>
        <w:t>Housing allowance;</w:t>
      </w:r>
    </w:p>
    <w:p w:rsidR="005C0731" w:rsidRDefault="00DD3D0F">
      <w:pPr>
        <w:pStyle w:val="Body"/>
        <w:widowControl w:val="0"/>
        <w:numPr>
          <w:ilvl w:val="0"/>
          <w:numId w:val="20"/>
        </w:numPr>
        <w:spacing w:line="240" w:lineRule="auto"/>
        <w:ind w:right="214"/>
        <w:jc w:val="both"/>
        <w:rPr>
          <w:rFonts w:ascii="Calibri" w:eastAsia="Calibri" w:hAnsi="Calibri" w:cs="Calibri"/>
        </w:rPr>
      </w:pPr>
      <w:r>
        <w:rPr>
          <w:rFonts w:ascii="Calibri" w:eastAsia="Calibri" w:hAnsi="Calibri" w:cs="Calibri"/>
        </w:rPr>
        <w:t>Costs of flight to and from Toronto or Vancouver to Ho Chi Minh City at the beginning and end of the school year</w:t>
      </w:r>
    </w:p>
    <w:p w:rsidR="005C0731" w:rsidRDefault="00DD3D0F">
      <w:pPr>
        <w:pStyle w:val="Body"/>
        <w:widowControl w:val="0"/>
        <w:numPr>
          <w:ilvl w:val="0"/>
          <w:numId w:val="20"/>
        </w:numPr>
        <w:spacing w:line="240" w:lineRule="auto"/>
        <w:ind w:right="214"/>
        <w:jc w:val="both"/>
        <w:rPr>
          <w:rFonts w:ascii="Calibri" w:eastAsia="Calibri" w:hAnsi="Calibri" w:cs="Calibri"/>
        </w:rPr>
      </w:pPr>
      <w:r>
        <w:rPr>
          <w:rFonts w:ascii="Calibri" w:eastAsia="Calibri" w:hAnsi="Calibri" w:cs="Calibri"/>
        </w:rPr>
        <w:t>A one-time settling-in allowance;</w:t>
      </w:r>
    </w:p>
    <w:p w:rsidR="005C0731" w:rsidRDefault="00DD3D0F">
      <w:pPr>
        <w:pStyle w:val="Body"/>
        <w:widowControl w:val="0"/>
        <w:numPr>
          <w:ilvl w:val="0"/>
          <w:numId w:val="20"/>
        </w:numPr>
        <w:spacing w:line="240" w:lineRule="auto"/>
        <w:ind w:right="214"/>
        <w:jc w:val="both"/>
        <w:rPr>
          <w:rFonts w:ascii="Calibri" w:eastAsia="Calibri" w:hAnsi="Calibri" w:cs="Calibri"/>
        </w:rPr>
      </w:pPr>
      <w:r>
        <w:rPr>
          <w:rFonts w:ascii="Calibri" w:eastAsia="Calibri" w:hAnsi="Calibri" w:cs="Calibri"/>
        </w:rPr>
        <w:t>Free tuition for the first child and a 50% reduction in tuition fees for the second child;</w:t>
      </w:r>
    </w:p>
    <w:p w:rsidR="005C0731" w:rsidRDefault="00DD3D0F">
      <w:pPr>
        <w:pStyle w:val="Body"/>
        <w:widowControl w:val="0"/>
        <w:numPr>
          <w:ilvl w:val="0"/>
          <w:numId w:val="20"/>
        </w:numPr>
        <w:spacing w:line="240" w:lineRule="auto"/>
        <w:ind w:right="214"/>
        <w:jc w:val="both"/>
        <w:rPr>
          <w:rFonts w:ascii="Calibri" w:eastAsia="Calibri" w:hAnsi="Calibri" w:cs="Calibri"/>
        </w:rPr>
      </w:pPr>
      <w:r>
        <w:rPr>
          <w:rFonts w:ascii="Calibri" w:eastAsia="Calibri" w:hAnsi="Calibri" w:cs="Calibri"/>
        </w:rPr>
        <w:t>Basic medical and health insurance up to $1,000 USD provided.</w:t>
      </w:r>
    </w:p>
    <w:p w:rsidR="005C0731" w:rsidRDefault="005C0731">
      <w:pPr>
        <w:pStyle w:val="Body"/>
        <w:rPr>
          <w:rStyle w:val="None"/>
          <w:b/>
          <w:bCs/>
          <w:sz w:val="20"/>
          <w:szCs w:val="20"/>
          <w:u w:val="single"/>
        </w:rPr>
      </w:pPr>
    </w:p>
    <w:p w:rsidR="005C0731" w:rsidRDefault="00DD3D0F">
      <w:pPr>
        <w:pStyle w:val="Body"/>
      </w:pPr>
      <w:r>
        <w:rPr>
          <w:rStyle w:val="None"/>
          <w:b/>
          <w:bCs/>
          <w:sz w:val="20"/>
          <w:szCs w:val="20"/>
          <w:u w:val="single"/>
        </w:rPr>
        <w:t>Application Process</w:t>
      </w:r>
    </w:p>
    <w:p w:rsidR="005C0731" w:rsidRDefault="00DD3D0F">
      <w:pPr>
        <w:pStyle w:val="Body"/>
      </w:pPr>
      <w:r>
        <w:rPr>
          <w:rStyle w:val="None"/>
          <w:sz w:val="20"/>
          <w:szCs w:val="20"/>
        </w:rPr>
        <w:t>Review online information about CIS by visiting</w:t>
      </w:r>
    </w:p>
    <w:p w:rsidR="005C0731" w:rsidRDefault="00DD3D0F">
      <w:pPr>
        <w:pStyle w:val="Body"/>
      </w:pPr>
      <w:r>
        <w:rPr>
          <w:rStyle w:val="None"/>
          <w:sz w:val="20"/>
          <w:szCs w:val="20"/>
        </w:rPr>
        <w:lastRenderedPageBreak/>
        <w:t>Submit the following:</w:t>
      </w:r>
    </w:p>
    <w:p w:rsidR="005C0731" w:rsidRDefault="00DD3D0F">
      <w:pPr>
        <w:pStyle w:val="Body"/>
        <w:numPr>
          <w:ilvl w:val="0"/>
          <w:numId w:val="22"/>
        </w:numPr>
        <w:rPr>
          <w:sz w:val="20"/>
          <w:szCs w:val="20"/>
        </w:rPr>
      </w:pPr>
      <w:r>
        <w:rPr>
          <w:rStyle w:val="None"/>
          <w:sz w:val="20"/>
          <w:szCs w:val="20"/>
        </w:rPr>
        <w:t>Your cover letter;</w:t>
      </w:r>
    </w:p>
    <w:p w:rsidR="005C0731" w:rsidRDefault="00DD3D0F">
      <w:pPr>
        <w:pStyle w:val="Body"/>
        <w:numPr>
          <w:ilvl w:val="0"/>
          <w:numId w:val="22"/>
        </w:numPr>
        <w:rPr>
          <w:sz w:val="20"/>
          <w:szCs w:val="20"/>
        </w:rPr>
      </w:pPr>
      <w:r>
        <w:rPr>
          <w:rStyle w:val="None"/>
          <w:sz w:val="20"/>
          <w:szCs w:val="20"/>
        </w:rPr>
        <w:t>Your resume;</w:t>
      </w:r>
    </w:p>
    <w:p w:rsidR="005C0731" w:rsidRDefault="00DD3D0F">
      <w:pPr>
        <w:pStyle w:val="Body"/>
        <w:numPr>
          <w:ilvl w:val="0"/>
          <w:numId w:val="22"/>
        </w:numPr>
        <w:rPr>
          <w:sz w:val="20"/>
          <w:szCs w:val="20"/>
        </w:rPr>
      </w:pPr>
      <w:r>
        <w:rPr>
          <w:rStyle w:val="None"/>
          <w:sz w:val="20"/>
          <w:szCs w:val="20"/>
        </w:rPr>
        <w:t>The names and contact information (tel. number(s). + email addresses) of three professional references.  Your referees are, preferably, those who have been in a supervisory role to you and who can be readily contacted to provide a reference by phone or email.</w:t>
      </w:r>
    </w:p>
    <w:p w:rsidR="005C0731" w:rsidRDefault="005C0731">
      <w:pPr>
        <w:pStyle w:val="Body"/>
      </w:pPr>
    </w:p>
    <w:p w:rsidR="005C0731" w:rsidRDefault="005C0731">
      <w:pPr>
        <w:pStyle w:val="Body"/>
        <w:rPr>
          <w:rStyle w:val="None"/>
          <w:sz w:val="20"/>
          <w:szCs w:val="20"/>
        </w:rPr>
      </w:pPr>
    </w:p>
    <w:p w:rsidR="005C0731" w:rsidRDefault="00DD3D0F">
      <w:pPr>
        <w:pStyle w:val="Body"/>
        <w:jc w:val="center"/>
        <w:rPr>
          <w:rStyle w:val="Hyperlink1"/>
        </w:rPr>
      </w:pPr>
      <w:r>
        <w:rPr>
          <w:rStyle w:val="None"/>
          <w:sz w:val="20"/>
          <w:szCs w:val="20"/>
        </w:rPr>
        <w:t xml:space="preserve">  If you have questions, please contact </w:t>
      </w:r>
      <w:hyperlink r:id="rId11" w:history="1">
        <w:r>
          <w:rPr>
            <w:rStyle w:val="Hyperlink1"/>
          </w:rPr>
          <w:t>Sheryl.Freeman@admin.cis.edu.vn</w:t>
        </w:r>
      </w:hyperlink>
    </w:p>
    <w:p w:rsidR="00DA277A" w:rsidRDefault="00DA277A">
      <w:pPr>
        <w:pStyle w:val="Body"/>
        <w:jc w:val="center"/>
        <w:rPr>
          <w:rStyle w:val="Hyperlink1"/>
        </w:rPr>
      </w:pPr>
    </w:p>
    <w:p w:rsidR="00DA277A" w:rsidRDefault="00DA277A" w:rsidP="00DA277A">
      <w:pPr>
        <w:jc w:val="center"/>
        <w:rPr>
          <w:b/>
          <w:u w:val="single"/>
        </w:rPr>
      </w:pPr>
      <w:r>
        <w:rPr>
          <w:b/>
        </w:rPr>
        <w:t xml:space="preserve">ALL applications to be submitted to </w:t>
      </w:r>
      <w:r>
        <w:rPr>
          <w:b/>
          <w:u w:val="single"/>
        </w:rPr>
        <w:t>BOTH</w:t>
      </w:r>
    </w:p>
    <w:p w:rsidR="00DA277A" w:rsidRDefault="00DA277A" w:rsidP="00DA277A">
      <w:pPr>
        <w:jc w:val="center"/>
        <w:rPr>
          <w:b/>
        </w:rPr>
      </w:pPr>
    </w:p>
    <w:p w:rsidR="00DA277A" w:rsidRDefault="00DA277A" w:rsidP="00DA277A">
      <w:pPr>
        <w:jc w:val="center"/>
        <w:rPr>
          <w:rFonts w:ascii="Verdana" w:hAnsi="Verdana"/>
          <w:color w:val="666666"/>
          <w:sz w:val="20"/>
          <w:szCs w:val="20"/>
        </w:rPr>
      </w:pPr>
      <w:hyperlink r:id="rId12" w:tgtFrame="_blank" w:history="1">
        <w:r>
          <w:rPr>
            <w:rStyle w:val="Hyperlink"/>
            <w:rFonts w:ascii="Verdana" w:hAnsi="Verdana"/>
            <w:sz w:val="20"/>
            <w:szCs w:val="20"/>
          </w:rPr>
          <w:t>http://surveys.tdsb.on.ca/index.php?r=survey/index/sid/521923/lang/en</w:t>
        </w:r>
      </w:hyperlink>
      <w:r>
        <w:rPr>
          <w:rFonts w:ascii="Verdana" w:hAnsi="Verdana"/>
          <w:color w:val="666666"/>
          <w:sz w:val="20"/>
          <w:szCs w:val="20"/>
        </w:rPr>
        <w:t xml:space="preserve"> </w:t>
      </w:r>
    </w:p>
    <w:p w:rsidR="00DA277A" w:rsidRDefault="00DA277A" w:rsidP="00DA277A">
      <w:pPr>
        <w:jc w:val="center"/>
        <w:rPr>
          <w:b/>
        </w:rPr>
      </w:pPr>
      <w:r>
        <w:rPr>
          <w:b/>
        </w:rPr>
        <w:t xml:space="preserve"> </w:t>
      </w:r>
    </w:p>
    <w:p w:rsidR="00DA277A" w:rsidRDefault="00DA277A" w:rsidP="00DA277A">
      <w:pPr>
        <w:jc w:val="center"/>
        <w:rPr>
          <w:b/>
        </w:rPr>
      </w:pPr>
      <w:proofErr w:type="gramStart"/>
      <w:r>
        <w:rPr>
          <w:b/>
        </w:rPr>
        <w:t>and</w:t>
      </w:r>
      <w:proofErr w:type="gramEnd"/>
      <w:r>
        <w:rPr>
          <w:b/>
        </w:rPr>
        <w:t xml:space="preserve"> </w:t>
      </w:r>
    </w:p>
    <w:p w:rsidR="00DA277A" w:rsidRDefault="00DA277A">
      <w:pPr>
        <w:pStyle w:val="Body"/>
        <w:jc w:val="center"/>
        <w:rPr>
          <w:rStyle w:val="None"/>
          <w:sz w:val="20"/>
          <w:szCs w:val="20"/>
        </w:rPr>
      </w:pPr>
    </w:p>
    <w:p w:rsidR="005C0731" w:rsidRDefault="00DD3D0F">
      <w:pPr>
        <w:pStyle w:val="Body"/>
        <w:jc w:val="center"/>
        <w:rPr>
          <w:rStyle w:val="None"/>
          <w:b/>
          <w:bCs/>
        </w:rPr>
      </w:pPr>
      <w:r>
        <w:rPr>
          <w:rStyle w:val="None"/>
          <w:b/>
          <w:bCs/>
        </w:rPr>
        <w:t xml:space="preserve">ALL applications to be submitted to CISS Human Resources, </w:t>
      </w:r>
    </w:p>
    <w:p w:rsidR="005C0731" w:rsidRDefault="00E740DE">
      <w:pPr>
        <w:pStyle w:val="Body"/>
        <w:jc w:val="center"/>
        <w:rPr>
          <w:rStyle w:val="None"/>
          <w:b/>
          <w:bCs/>
        </w:rPr>
      </w:pPr>
      <w:hyperlink r:id="rId13" w:history="1">
        <w:r w:rsidR="00DD3D0F">
          <w:rPr>
            <w:rStyle w:val="Hyperlink2"/>
            <w:lang w:val="it-IT"/>
          </w:rPr>
          <w:t>jobapplication@admin.cis.edu.vn</w:t>
        </w:r>
      </w:hyperlink>
      <w:bookmarkStart w:id="1" w:name="_GoBack"/>
      <w:bookmarkEnd w:id="1"/>
    </w:p>
    <w:p w:rsidR="005C0731" w:rsidRDefault="005C0731">
      <w:pPr>
        <w:pStyle w:val="Body"/>
        <w:jc w:val="center"/>
        <w:rPr>
          <w:sz w:val="20"/>
          <w:szCs w:val="20"/>
        </w:rPr>
      </w:pPr>
    </w:p>
    <w:p w:rsidR="005C0731" w:rsidRDefault="005C0731">
      <w:pPr>
        <w:pStyle w:val="Body"/>
      </w:pPr>
    </w:p>
    <w:p w:rsidR="005C0731" w:rsidRDefault="00DD3D0F">
      <w:pPr>
        <w:pStyle w:val="Body"/>
        <w:jc w:val="center"/>
      </w:pPr>
      <w:r>
        <w:rPr>
          <w:rStyle w:val="None"/>
          <w:b/>
          <w:bCs/>
          <w:sz w:val="28"/>
          <w:szCs w:val="28"/>
        </w:rPr>
        <w:t>Only applicants selected for an interview will be contacted</w:t>
      </w:r>
      <w:r>
        <w:t>.</w:t>
      </w:r>
    </w:p>
    <w:p w:rsidR="005C0731" w:rsidRDefault="005C0731">
      <w:pPr>
        <w:pStyle w:val="Body"/>
      </w:pPr>
    </w:p>
    <w:p w:rsidR="005C0731" w:rsidRDefault="005C0731">
      <w:pPr>
        <w:pStyle w:val="Body"/>
      </w:pPr>
    </w:p>
    <w:sectPr w:rsidR="005C0731">
      <w:headerReference w:type="default" r:id="rId14"/>
      <w:footerReference w:type="default" r:id="rId15"/>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0DE" w:rsidRDefault="00E740DE">
      <w:r>
        <w:separator/>
      </w:r>
    </w:p>
  </w:endnote>
  <w:endnote w:type="continuationSeparator" w:id="0">
    <w:p w:rsidR="00E740DE" w:rsidRDefault="00E74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731" w:rsidRDefault="005C0731">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0DE" w:rsidRDefault="00E740DE">
      <w:r>
        <w:separator/>
      </w:r>
    </w:p>
  </w:footnote>
  <w:footnote w:type="continuationSeparator" w:id="0">
    <w:p w:rsidR="00E740DE" w:rsidRDefault="00E740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731" w:rsidRDefault="005C0731">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207A2"/>
    <w:multiLevelType w:val="hybridMultilevel"/>
    <w:tmpl w:val="E7E03A80"/>
    <w:styleLink w:val="ImportedStyle8"/>
    <w:lvl w:ilvl="0" w:tplc="C606624C">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6B0CC88">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35EF0A6">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476BA10">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8A2127A">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80C2EC2">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26A9882">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2767A5E">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6F60032">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0E767325"/>
    <w:multiLevelType w:val="hybridMultilevel"/>
    <w:tmpl w:val="377E6D9E"/>
    <w:styleLink w:val="ImportedStyle5"/>
    <w:lvl w:ilvl="0" w:tplc="B12A40DA">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F7C508C">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4BA62E4">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D566A0E">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834CFA8">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3CA64A8">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F7C1B9E">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0DAC5B6">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13EE186">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158124B9"/>
    <w:multiLevelType w:val="hybridMultilevel"/>
    <w:tmpl w:val="11765572"/>
    <w:styleLink w:val="ImportedStyle11"/>
    <w:lvl w:ilvl="0" w:tplc="67A6C374">
      <w:start w:val="1"/>
      <w:numFmt w:val="bullet"/>
      <w:lvlText w:val="●"/>
      <w:lvlJc w:val="left"/>
      <w:pPr>
        <w:ind w:left="756" w:hanging="396"/>
      </w:pPr>
      <w:rPr>
        <w:rFonts w:hAnsi="Arial Unicode MS"/>
        <w:caps w:val="0"/>
        <w:smallCaps w:val="0"/>
        <w:strike w:val="0"/>
        <w:dstrike w:val="0"/>
        <w:outline w:val="0"/>
        <w:emboss w:val="0"/>
        <w:imprint w:val="0"/>
        <w:spacing w:val="0"/>
        <w:w w:val="100"/>
        <w:kern w:val="0"/>
        <w:position w:val="0"/>
        <w:highlight w:val="none"/>
        <w:vertAlign w:val="baseline"/>
      </w:rPr>
    </w:lvl>
    <w:lvl w:ilvl="1" w:tplc="F12604D4">
      <w:start w:val="1"/>
      <w:numFmt w:val="bullet"/>
      <w:lvlText w:val="○"/>
      <w:lvlJc w:val="left"/>
      <w:pPr>
        <w:ind w:left="1476" w:hanging="396"/>
      </w:pPr>
      <w:rPr>
        <w:rFonts w:hAnsi="Arial Unicode MS"/>
        <w:caps w:val="0"/>
        <w:smallCaps w:val="0"/>
        <w:strike w:val="0"/>
        <w:dstrike w:val="0"/>
        <w:outline w:val="0"/>
        <w:emboss w:val="0"/>
        <w:imprint w:val="0"/>
        <w:spacing w:val="0"/>
        <w:w w:val="100"/>
        <w:kern w:val="0"/>
        <w:position w:val="0"/>
        <w:highlight w:val="none"/>
        <w:vertAlign w:val="baseline"/>
      </w:rPr>
    </w:lvl>
    <w:lvl w:ilvl="2" w:tplc="B42A471A">
      <w:start w:val="1"/>
      <w:numFmt w:val="bullet"/>
      <w:lvlText w:val="■"/>
      <w:lvlJc w:val="left"/>
      <w:pPr>
        <w:ind w:left="2196" w:hanging="396"/>
      </w:pPr>
      <w:rPr>
        <w:rFonts w:hAnsi="Arial Unicode MS"/>
        <w:caps w:val="0"/>
        <w:smallCaps w:val="0"/>
        <w:strike w:val="0"/>
        <w:dstrike w:val="0"/>
        <w:outline w:val="0"/>
        <w:emboss w:val="0"/>
        <w:imprint w:val="0"/>
        <w:spacing w:val="0"/>
        <w:w w:val="100"/>
        <w:kern w:val="0"/>
        <w:position w:val="0"/>
        <w:highlight w:val="none"/>
        <w:vertAlign w:val="baseline"/>
      </w:rPr>
    </w:lvl>
    <w:lvl w:ilvl="3" w:tplc="3870819A">
      <w:start w:val="1"/>
      <w:numFmt w:val="bullet"/>
      <w:lvlText w:val="●"/>
      <w:lvlJc w:val="left"/>
      <w:pPr>
        <w:ind w:left="2916" w:hanging="396"/>
      </w:pPr>
      <w:rPr>
        <w:rFonts w:hAnsi="Arial Unicode MS"/>
        <w:caps w:val="0"/>
        <w:smallCaps w:val="0"/>
        <w:strike w:val="0"/>
        <w:dstrike w:val="0"/>
        <w:outline w:val="0"/>
        <w:emboss w:val="0"/>
        <w:imprint w:val="0"/>
        <w:spacing w:val="0"/>
        <w:w w:val="100"/>
        <w:kern w:val="0"/>
        <w:position w:val="0"/>
        <w:highlight w:val="none"/>
        <w:vertAlign w:val="baseline"/>
      </w:rPr>
    </w:lvl>
    <w:lvl w:ilvl="4" w:tplc="7EA4C474">
      <w:start w:val="1"/>
      <w:numFmt w:val="bullet"/>
      <w:lvlText w:val="○"/>
      <w:lvlJc w:val="left"/>
      <w:pPr>
        <w:ind w:left="3636" w:hanging="396"/>
      </w:pPr>
      <w:rPr>
        <w:rFonts w:hAnsi="Arial Unicode MS"/>
        <w:caps w:val="0"/>
        <w:smallCaps w:val="0"/>
        <w:strike w:val="0"/>
        <w:dstrike w:val="0"/>
        <w:outline w:val="0"/>
        <w:emboss w:val="0"/>
        <w:imprint w:val="0"/>
        <w:spacing w:val="0"/>
        <w:w w:val="100"/>
        <w:kern w:val="0"/>
        <w:position w:val="0"/>
        <w:highlight w:val="none"/>
        <w:vertAlign w:val="baseline"/>
      </w:rPr>
    </w:lvl>
    <w:lvl w:ilvl="5" w:tplc="4DFAE6D2">
      <w:start w:val="1"/>
      <w:numFmt w:val="bullet"/>
      <w:lvlText w:val="■"/>
      <w:lvlJc w:val="left"/>
      <w:pPr>
        <w:ind w:left="4356" w:hanging="396"/>
      </w:pPr>
      <w:rPr>
        <w:rFonts w:hAnsi="Arial Unicode MS"/>
        <w:caps w:val="0"/>
        <w:smallCaps w:val="0"/>
        <w:strike w:val="0"/>
        <w:dstrike w:val="0"/>
        <w:outline w:val="0"/>
        <w:emboss w:val="0"/>
        <w:imprint w:val="0"/>
        <w:spacing w:val="0"/>
        <w:w w:val="100"/>
        <w:kern w:val="0"/>
        <w:position w:val="0"/>
        <w:highlight w:val="none"/>
        <w:vertAlign w:val="baseline"/>
      </w:rPr>
    </w:lvl>
    <w:lvl w:ilvl="6" w:tplc="9496B0DE">
      <w:start w:val="1"/>
      <w:numFmt w:val="bullet"/>
      <w:lvlText w:val="●"/>
      <w:lvlJc w:val="left"/>
      <w:pPr>
        <w:ind w:left="5076" w:hanging="396"/>
      </w:pPr>
      <w:rPr>
        <w:rFonts w:hAnsi="Arial Unicode MS"/>
        <w:caps w:val="0"/>
        <w:smallCaps w:val="0"/>
        <w:strike w:val="0"/>
        <w:dstrike w:val="0"/>
        <w:outline w:val="0"/>
        <w:emboss w:val="0"/>
        <w:imprint w:val="0"/>
        <w:spacing w:val="0"/>
        <w:w w:val="100"/>
        <w:kern w:val="0"/>
        <w:position w:val="0"/>
        <w:highlight w:val="none"/>
        <w:vertAlign w:val="baseline"/>
      </w:rPr>
    </w:lvl>
    <w:lvl w:ilvl="7" w:tplc="C0C6F83C">
      <w:start w:val="1"/>
      <w:numFmt w:val="bullet"/>
      <w:lvlText w:val="○"/>
      <w:lvlJc w:val="left"/>
      <w:pPr>
        <w:ind w:left="5796" w:hanging="396"/>
      </w:pPr>
      <w:rPr>
        <w:rFonts w:hAnsi="Arial Unicode MS"/>
        <w:caps w:val="0"/>
        <w:smallCaps w:val="0"/>
        <w:strike w:val="0"/>
        <w:dstrike w:val="0"/>
        <w:outline w:val="0"/>
        <w:emboss w:val="0"/>
        <w:imprint w:val="0"/>
        <w:spacing w:val="0"/>
        <w:w w:val="100"/>
        <w:kern w:val="0"/>
        <w:position w:val="0"/>
        <w:highlight w:val="none"/>
        <w:vertAlign w:val="baseline"/>
      </w:rPr>
    </w:lvl>
    <w:lvl w:ilvl="8" w:tplc="DAE87A20">
      <w:start w:val="1"/>
      <w:numFmt w:val="bullet"/>
      <w:lvlText w:val="■"/>
      <w:lvlJc w:val="left"/>
      <w:pPr>
        <w:ind w:left="6516" w:hanging="3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17EB4435"/>
    <w:multiLevelType w:val="hybridMultilevel"/>
    <w:tmpl w:val="028E6222"/>
    <w:numStyleLink w:val="ImportedStyle2"/>
  </w:abstractNum>
  <w:abstractNum w:abstractNumId="4">
    <w:nsid w:val="1C5E0A97"/>
    <w:multiLevelType w:val="hybridMultilevel"/>
    <w:tmpl w:val="E76EEED6"/>
    <w:styleLink w:val="ImportedStyle3"/>
    <w:lvl w:ilvl="0" w:tplc="3DAEBE98">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E488230">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3E23D1C">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E1C9726">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C0AAC5C">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90A0FEE">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65CDDE4">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804C976">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0B255CE">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28655318"/>
    <w:multiLevelType w:val="hybridMultilevel"/>
    <w:tmpl w:val="028E6222"/>
    <w:styleLink w:val="ImportedStyle2"/>
    <w:lvl w:ilvl="0" w:tplc="38B6EF0C">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78CF7B8">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EC04DC0">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EBEEA54">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45034AA">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A289A34">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B7EA856">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0FCBE80">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82ABBA2">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2B307C6F"/>
    <w:multiLevelType w:val="hybridMultilevel"/>
    <w:tmpl w:val="E996D572"/>
    <w:styleLink w:val="ImportedStyle6"/>
    <w:lvl w:ilvl="0" w:tplc="36886328">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DB4281E">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114753E">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35A360E">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F16F218">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2746E12">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D047B02">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446229E">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0AE5202">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2D6F2FE1"/>
    <w:multiLevelType w:val="hybridMultilevel"/>
    <w:tmpl w:val="89726E12"/>
    <w:numStyleLink w:val="ImportedStyle4"/>
  </w:abstractNum>
  <w:abstractNum w:abstractNumId="8">
    <w:nsid w:val="2DC5242C"/>
    <w:multiLevelType w:val="hybridMultilevel"/>
    <w:tmpl w:val="B84A91EC"/>
    <w:styleLink w:val="ImportedStyle10"/>
    <w:lvl w:ilvl="0" w:tplc="A1629582">
      <w:start w:val="1"/>
      <w:numFmt w:val="bullet"/>
      <w:lvlText w:val="●"/>
      <w:lvlJc w:val="left"/>
      <w:pPr>
        <w:tabs>
          <w:tab w:val="left" w:pos="82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B7851AC">
      <w:start w:val="1"/>
      <w:numFmt w:val="bullet"/>
      <w:lvlText w:val="○"/>
      <w:lvlJc w:val="left"/>
      <w:pPr>
        <w:tabs>
          <w:tab w:val="left" w:pos="8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83444AC">
      <w:start w:val="1"/>
      <w:numFmt w:val="bullet"/>
      <w:lvlText w:val="■"/>
      <w:lvlJc w:val="left"/>
      <w:pPr>
        <w:tabs>
          <w:tab w:val="left" w:pos="8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096E522">
      <w:start w:val="1"/>
      <w:numFmt w:val="bullet"/>
      <w:lvlText w:val="●"/>
      <w:lvlJc w:val="left"/>
      <w:pPr>
        <w:tabs>
          <w:tab w:val="left" w:pos="8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B429680">
      <w:start w:val="1"/>
      <w:numFmt w:val="bullet"/>
      <w:lvlText w:val="○"/>
      <w:lvlJc w:val="left"/>
      <w:pPr>
        <w:tabs>
          <w:tab w:val="left" w:pos="8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F02BFA4">
      <w:start w:val="1"/>
      <w:numFmt w:val="bullet"/>
      <w:lvlText w:val="■"/>
      <w:lvlJc w:val="left"/>
      <w:pPr>
        <w:tabs>
          <w:tab w:val="left" w:pos="82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E189EAE">
      <w:start w:val="1"/>
      <w:numFmt w:val="bullet"/>
      <w:lvlText w:val="●"/>
      <w:lvlJc w:val="left"/>
      <w:pPr>
        <w:tabs>
          <w:tab w:val="left" w:pos="8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8D87DDC">
      <w:start w:val="1"/>
      <w:numFmt w:val="bullet"/>
      <w:lvlText w:val="○"/>
      <w:lvlJc w:val="left"/>
      <w:pPr>
        <w:tabs>
          <w:tab w:val="left" w:pos="8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4728E1C">
      <w:start w:val="1"/>
      <w:numFmt w:val="bullet"/>
      <w:lvlText w:val="■"/>
      <w:lvlJc w:val="left"/>
      <w:pPr>
        <w:tabs>
          <w:tab w:val="left" w:pos="82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360A5FBA"/>
    <w:multiLevelType w:val="hybridMultilevel"/>
    <w:tmpl w:val="E996D572"/>
    <w:numStyleLink w:val="ImportedStyle6"/>
  </w:abstractNum>
  <w:abstractNum w:abstractNumId="10">
    <w:nsid w:val="36593CE3"/>
    <w:multiLevelType w:val="hybridMultilevel"/>
    <w:tmpl w:val="6A2C96BC"/>
    <w:numStyleLink w:val="ImportedStyle7"/>
  </w:abstractNum>
  <w:abstractNum w:abstractNumId="11">
    <w:nsid w:val="38BC3385"/>
    <w:multiLevelType w:val="hybridMultilevel"/>
    <w:tmpl w:val="6A2C96BC"/>
    <w:styleLink w:val="ImportedStyle7"/>
    <w:lvl w:ilvl="0" w:tplc="438E1E12">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BB20692">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F187FD6">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04057E6">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3C4C73C">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848ED90">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F0CA324">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A96D3A4">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5C081BE">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nsid w:val="391B131E"/>
    <w:multiLevelType w:val="hybridMultilevel"/>
    <w:tmpl w:val="11765572"/>
    <w:numStyleLink w:val="ImportedStyle11"/>
  </w:abstractNum>
  <w:abstractNum w:abstractNumId="13">
    <w:nsid w:val="404E380A"/>
    <w:multiLevelType w:val="hybridMultilevel"/>
    <w:tmpl w:val="377E6D9E"/>
    <w:numStyleLink w:val="ImportedStyle5"/>
  </w:abstractNum>
  <w:abstractNum w:abstractNumId="14">
    <w:nsid w:val="471071BF"/>
    <w:multiLevelType w:val="hybridMultilevel"/>
    <w:tmpl w:val="61CE9058"/>
    <w:numStyleLink w:val="ImportedStyle1"/>
  </w:abstractNum>
  <w:abstractNum w:abstractNumId="15">
    <w:nsid w:val="4DEA405F"/>
    <w:multiLevelType w:val="hybridMultilevel"/>
    <w:tmpl w:val="61CE9058"/>
    <w:styleLink w:val="ImportedStyle1"/>
    <w:lvl w:ilvl="0" w:tplc="F39E88AE">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C5842C0">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634E6E2">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CC833BC">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5CCCF10">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7C88FB0">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5DAE176">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8BC797A">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B4CE0CA">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nsid w:val="53674D1D"/>
    <w:multiLevelType w:val="hybridMultilevel"/>
    <w:tmpl w:val="4AC03910"/>
    <w:styleLink w:val="ImportedStyle9"/>
    <w:lvl w:ilvl="0" w:tplc="8402D446">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AC06508">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D002EB8">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2969F90">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BDC71D4">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46E624E">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4763876">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2F01E14">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A840ED2">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nsid w:val="57830EA3"/>
    <w:multiLevelType w:val="hybridMultilevel"/>
    <w:tmpl w:val="89726E12"/>
    <w:styleLink w:val="ImportedStyle4"/>
    <w:lvl w:ilvl="0" w:tplc="1EA63640">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380F812">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186F436">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04AC82C">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852A458">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5B28850">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9167F9C">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D1E289C">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1E02316">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nsid w:val="5B342F29"/>
    <w:multiLevelType w:val="hybridMultilevel"/>
    <w:tmpl w:val="E76EEED6"/>
    <w:numStyleLink w:val="ImportedStyle3"/>
  </w:abstractNum>
  <w:abstractNum w:abstractNumId="19">
    <w:nsid w:val="646E194B"/>
    <w:multiLevelType w:val="hybridMultilevel"/>
    <w:tmpl w:val="4AC03910"/>
    <w:numStyleLink w:val="ImportedStyle9"/>
  </w:abstractNum>
  <w:abstractNum w:abstractNumId="20">
    <w:nsid w:val="71075AF0"/>
    <w:multiLevelType w:val="hybridMultilevel"/>
    <w:tmpl w:val="E7E03A80"/>
    <w:numStyleLink w:val="ImportedStyle8"/>
  </w:abstractNum>
  <w:abstractNum w:abstractNumId="21">
    <w:nsid w:val="75CA12A6"/>
    <w:multiLevelType w:val="hybridMultilevel"/>
    <w:tmpl w:val="B84A91EC"/>
    <w:numStyleLink w:val="ImportedStyle10"/>
  </w:abstractNum>
  <w:num w:numId="1">
    <w:abstractNumId w:val="15"/>
  </w:num>
  <w:num w:numId="2">
    <w:abstractNumId w:val="14"/>
  </w:num>
  <w:num w:numId="3">
    <w:abstractNumId w:val="5"/>
  </w:num>
  <w:num w:numId="4">
    <w:abstractNumId w:val="3"/>
  </w:num>
  <w:num w:numId="5">
    <w:abstractNumId w:val="4"/>
  </w:num>
  <w:num w:numId="6">
    <w:abstractNumId w:val="18"/>
  </w:num>
  <w:num w:numId="7">
    <w:abstractNumId w:val="17"/>
  </w:num>
  <w:num w:numId="8">
    <w:abstractNumId w:val="7"/>
  </w:num>
  <w:num w:numId="9">
    <w:abstractNumId w:val="1"/>
  </w:num>
  <w:num w:numId="10">
    <w:abstractNumId w:val="13"/>
  </w:num>
  <w:num w:numId="11">
    <w:abstractNumId w:val="6"/>
  </w:num>
  <w:num w:numId="12">
    <w:abstractNumId w:val="9"/>
  </w:num>
  <w:num w:numId="13">
    <w:abstractNumId w:val="11"/>
  </w:num>
  <w:num w:numId="14">
    <w:abstractNumId w:val="10"/>
  </w:num>
  <w:num w:numId="15">
    <w:abstractNumId w:val="0"/>
  </w:num>
  <w:num w:numId="16">
    <w:abstractNumId w:val="20"/>
  </w:num>
  <w:num w:numId="17">
    <w:abstractNumId w:val="16"/>
  </w:num>
  <w:num w:numId="18">
    <w:abstractNumId w:val="19"/>
  </w:num>
  <w:num w:numId="19">
    <w:abstractNumId w:val="8"/>
  </w:num>
  <w:num w:numId="20">
    <w:abstractNumId w:val="21"/>
  </w:num>
  <w:num w:numId="21">
    <w:abstractNumId w:val="2"/>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731"/>
    <w:rsid w:val="00261564"/>
    <w:rsid w:val="005C0731"/>
    <w:rsid w:val="00DA277A"/>
    <w:rsid w:val="00DD3D0F"/>
    <w:rsid w:val="00E74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next w:val="Body"/>
    <w:pPr>
      <w:keepNext/>
      <w:keepLines/>
      <w:shd w:val="clear" w:color="auto" w:fill="FFFFFF"/>
      <w:spacing w:before="360" w:after="120" w:line="276" w:lineRule="auto"/>
      <w:outlineLvl w:val="1"/>
    </w:pPr>
    <w:rPr>
      <w:rFonts w:ascii="Arial" w:hAnsi="Arial" w:cs="Arial Unicode MS"/>
      <w:color w:val="000000"/>
      <w:sz w:val="32"/>
      <w:szCs w:val="32"/>
      <w:u w:color="000000"/>
      <w:shd w:val="clear" w:color="auto" w:fill="FFFFFF"/>
      <w:lang w:val="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hd w:val="clear" w:color="auto" w:fill="FFFFFF"/>
      <w:spacing w:line="276" w:lineRule="auto"/>
    </w:pPr>
    <w:rPr>
      <w:rFonts w:ascii="Arial" w:hAnsi="Arial" w:cs="Arial Unicode MS"/>
      <w:color w:val="000000"/>
      <w:sz w:val="22"/>
      <w:szCs w:val="22"/>
      <w:u w:color="000000"/>
      <w:shd w:val="clear" w:color="auto" w:fill="FFFFFF"/>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1"/>
      </w:numPr>
    </w:pPr>
  </w:style>
  <w:style w:type="numbering" w:customStyle="1" w:styleId="ImportedStyle7">
    <w:name w:val="Imported Style 7"/>
    <w:pPr>
      <w:numPr>
        <w:numId w:val="13"/>
      </w:numPr>
    </w:pPr>
  </w:style>
  <w:style w:type="numbering" w:customStyle="1" w:styleId="ImportedStyle8">
    <w:name w:val="Imported Style 8"/>
    <w:pPr>
      <w:numPr>
        <w:numId w:val="15"/>
      </w:numPr>
    </w:pPr>
  </w:style>
  <w:style w:type="character" w:customStyle="1" w:styleId="None">
    <w:name w:val="None"/>
  </w:style>
  <w:style w:type="character" w:customStyle="1" w:styleId="Hyperlink0">
    <w:name w:val="Hyperlink.0"/>
    <w:basedOn w:val="None"/>
    <w:rPr>
      <w:color w:val="1155CC"/>
      <w:sz w:val="19"/>
      <w:szCs w:val="19"/>
      <w:u w:val="single" w:color="1155CC"/>
      <w:shd w:val="clear" w:color="auto" w:fill="FFFFFF"/>
    </w:rPr>
  </w:style>
  <w:style w:type="numbering" w:customStyle="1" w:styleId="ImportedStyle9">
    <w:name w:val="Imported Style 9"/>
    <w:pPr>
      <w:numPr>
        <w:numId w:val="17"/>
      </w:numPr>
    </w:pPr>
  </w:style>
  <w:style w:type="numbering" w:customStyle="1" w:styleId="ImportedStyle10">
    <w:name w:val="Imported Style 10"/>
    <w:pPr>
      <w:numPr>
        <w:numId w:val="19"/>
      </w:numPr>
    </w:pPr>
  </w:style>
  <w:style w:type="numbering" w:customStyle="1" w:styleId="ImportedStyle11">
    <w:name w:val="Imported Style 11"/>
    <w:pPr>
      <w:numPr>
        <w:numId w:val="21"/>
      </w:numPr>
    </w:pPr>
  </w:style>
  <w:style w:type="character" w:customStyle="1" w:styleId="Hyperlink1">
    <w:name w:val="Hyperlink.1"/>
    <w:basedOn w:val="None"/>
    <w:rPr>
      <w:color w:val="1155CC"/>
      <w:sz w:val="20"/>
      <w:szCs w:val="20"/>
      <w:u w:val="single" w:color="1155CC"/>
    </w:rPr>
  </w:style>
  <w:style w:type="character" w:customStyle="1" w:styleId="Hyperlink2">
    <w:name w:val="Hyperlink.2"/>
    <w:basedOn w:val="None"/>
    <w:rPr>
      <w:rFonts w:ascii="Arial" w:eastAsia="Arial" w:hAnsi="Arial" w:cs="Arial"/>
      <w:b/>
      <w:bCs/>
      <w:color w:val="1155CC"/>
      <w:u w:val="single" w:color="1155C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next w:val="Body"/>
    <w:pPr>
      <w:keepNext/>
      <w:keepLines/>
      <w:shd w:val="clear" w:color="auto" w:fill="FFFFFF"/>
      <w:spacing w:before="360" w:after="120" w:line="276" w:lineRule="auto"/>
      <w:outlineLvl w:val="1"/>
    </w:pPr>
    <w:rPr>
      <w:rFonts w:ascii="Arial" w:hAnsi="Arial" w:cs="Arial Unicode MS"/>
      <w:color w:val="000000"/>
      <w:sz w:val="32"/>
      <w:szCs w:val="32"/>
      <w:u w:color="000000"/>
      <w:shd w:val="clear" w:color="auto" w:fill="FFFFFF"/>
      <w:lang w:val="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hd w:val="clear" w:color="auto" w:fill="FFFFFF"/>
      <w:spacing w:line="276" w:lineRule="auto"/>
    </w:pPr>
    <w:rPr>
      <w:rFonts w:ascii="Arial" w:hAnsi="Arial" w:cs="Arial Unicode MS"/>
      <w:color w:val="000000"/>
      <w:sz w:val="22"/>
      <w:szCs w:val="22"/>
      <w:u w:color="000000"/>
      <w:shd w:val="clear" w:color="auto" w:fill="FFFFFF"/>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1"/>
      </w:numPr>
    </w:pPr>
  </w:style>
  <w:style w:type="numbering" w:customStyle="1" w:styleId="ImportedStyle7">
    <w:name w:val="Imported Style 7"/>
    <w:pPr>
      <w:numPr>
        <w:numId w:val="13"/>
      </w:numPr>
    </w:pPr>
  </w:style>
  <w:style w:type="numbering" w:customStyle="1" w:styleId="ImportedStyle8">
    <w:name w:val="Imported Style 8"/>
    <w:pPr>
      <w:numPr>
        <w:numId w:val="15"/>
      </w:numPr>
    </w:pPr>
  </w:style>
  <w:style w:type="character" w:customStyle="1" w:styleId="None">
    <w:name w:val="None"/>
  </w:style>
  <w:style w:type="character" w:customStyle="1" w:styleId="Hyperlink0">
    <w:name w:val="Hyperlink.0"/>
    <w:basedOn w:val="None"/>
    <w:rPr>
      <w:color w:val="1155CC"/>
      <w:sz w:val="19"/>
      <w:szCs w:val="19"/>
      <w:u w:val="single" w:color="1155CC"/>
      <w:shd w:val="clear" w:color="auto" w:fill="FFFFFF"/>
    </w:rPr>
  </w:style>
  <w:style w:type="numbering" w:customStyle="1" w:styleId="ImportedStyle9">
    <w:name w:val="Imported Style 9"/>
    <w:pPr>
      <w:numPr>
        <w:numId w:val="17"/>
      </w:numPr>
    </w:pPr>
  </w:style>
  <w:style w:type="numbering" w:customStyle="1" w:styleId="ImportedStyle10">
    <w:name w:val="Imported Style 10"/>
    <w:pPr>
      <w:numPr>
        <w:numId w:val="19"/>
      </w:numPr>
    </w:pPr>
  </w:style>
  <w:style w:type="numbering" w:customStyle="1" w:styleId="ImportedStyle11">
    <w:name w:val="Imported Style 11"/>
    <w:pPr>
      <w:numPr>
        <w:numId w:val="21"/>
      </w:numPr>
    </w:pPr>
  </w:style>
  <w:style w:type="character" w:customStyle="1" w:styleId="Hyperlink1">
    <w:name w:val="Hyperlink.1"/>
    <w:basedOn w:val="None"/>
    <w:rPr>
      <w:color w:val="1155CC"/>
      <w:sz w:val="20"/>
      <w:szCs w:val="20"/>
      <w:u w:val="single" w:color="1155CC"/>
    </w:rPr>
  </w:style>
  <w:style w:type="character" w:customStyle="1" w:styleId="Hyperlink2">
    <w:name w:val="Hyperlink.2"/>
    <w:basedOn w:val="None"/>
    <w:rPr>
      <w:rFonts w:ascii="Arial" w:eastAsia="Arial" w:hAnsi="Arial" w:cs="Arial"/>
      <w:b/>
      <w:bCs/>
      <w:color w:val="1155CC"/>
      <w:u w:val="single" w:color="1155C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obapplication@admin.cis.edu.v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urveys.tdsb.on.ca/index.php?r=survey/index/sid/521923/lang/e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heryl.Freeman@admin.cis.edu.v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oct.ca/becoming-a-teacher/internationally-educated-teacher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868</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5805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Caccamo, Angela</cp:lastModifiedBy>
  <cp:revision>2</cp:revision>
  <dcterms:created xsi:type="dcterms:W3CDTF">2018-01-15T20:47:00Z</dcterms:created>
  <dcterms:modified xsi:type="dcterms:W3CDTF">2018-01-15T20:47:00Z</dcterms:modified>
</cp:coreProperties>
</file>